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0118D">
      <w:pPr>
        <w:pStyle w:val="14"/>
        <w:spacing w:line="240" w:lineRule="auto"/>
        <w:ind w:firstLine="0" w:firstLineChars="0"/>
        <w:jc w:val="center"/>
        <w:rPr>
          <w:rFonts w:ascii="方正小标宋简体" w:hAnsi="方正小标宋简体" w:eastAsia="方正小标宋简体" w:cs="方正小标宋简体"/>
          <w:bCs w:val="0"/>
          <w:w w:val="98"/>
          <w:sz w:val="44"/>
          <w:szCs w:val="44"/>
        </w:rPr>
      </w:pPr>
    </w:p>
    <w:p w14:paraId="2522BA43">
      <w:pPr>
        <w:pStyle w:val="14"/>
        <w:spacing w:line="560" w:lineRule="exact"/>
        <w:ind w:firstLine="0" w:firstLineChars="0"/>
        <w:jc w:val="center"/>
        <w:rPr>
          <w:rFonts w:hint="eastAsia" w:ascii="宋体" w:hAnsi="宋体" w:eastAsia="宋体" w:cs="方正小标宋简体"/>
          <w:b/>
          <w:bCs w:val="0"/>
          <w:w w:val="98"/>
          <w:sz w:val="44"/>
          <w:szCs w:val="44"/>
          <w:lang w:val="en-US" w:eastAsia="zh-CN"/>
        </w:rPr>
      </w:pPr>
      <w:r>
        <w:rPr>
          <w:rFonts w:hint="eastAsia" w:ascii="宋体" w:hAnsi="宋体" w:eastAsia="宋体" w:cs="方正小标宋简体"/>
          <w:b/>
          <w:bCs w:val="0"/>
          <w:w w:val="98"/>
          <w:sz w:val="44"/>
          <w:szCs w:val="44"/>
        </w:rPr>
        <w:t>河北省</w:t>
      </w:r>
      <w:r>
        <w:rPr>
          <w:rFonts w:hint="eastAsia" w:ascii="宋体" w:hAnsi="宋体" w:eastAsia="宋体" w:cs="方正小标宋简体"/>
          <w:b/>
          <w:bCs w:val="0"/>
          <w:w w:val="98"/>
          <w:sz w:val="44"/>
          <w:szCs w:val="44"/>
          <w:lang w:val="en-US" w:eastAsia="zh-CN"/>
        </w:rPr>
        <w:t>建筑市场发展研究会</w:t>
      </w:r>
    </w:p>
    <w:p w14:paraId="7FFD1B95">
      <w:pPr>
        <w:pStyle w:val="14"/>
        <w:spacing w:line="560" w:lineRule="exact"/>
        <w:ind w:firstLine="0" w:firstLineChars="0"/>
        <w:jc w:val="center"/>
        <w:rPr>
          <w:rFonts w:ascii="宋体" w:hAnsi="宋体" w:eastAsia="宋体" w:cs="方正小标宋简体"/>
          <w:b/>
          <w:bCs w:val="0"/>
          <w:w w:val="98"/>
          <w:sz w:val="44"/>
          <w:szCs w:val="44"/>
        </w:rPr>
      </w:pPr>
      <w:r>
        <w:rPr>
          <w:rFonts w:hint="eastAsia" w:ascii="宋体" w:hAnsi="宋体" w:eastAsia="宋体" w:cs="方正小标宋简体"/>
          <w:b/>
          <w:bCs w:val="0"/>
          <w:w w:val="98"/>
          <w:sz w:val="44"/>
          <w:szCs w:val="44"/>
        </w:rPr>
        <w:t>工程造价咨询企业信用评价管理办法</w:t>
      </w:r>
    </w:p>
    <w:p w14:paraId="6394AD5A">
      <w:pPr>
        <w:pStyle w:val="2"/>
        <w:spacing w:line="560" w:lineRule="exact"/>
        <w:jc w:val="center"/>
        <w:rPr>
          <w:rFonts w:cs="仿宋"/>
          <w:bCs w:val="0"/>
          <w:sz w:val="32"/>
          <w:szCs w:val="32"/>
        </w:rPr>
      </w:pPr>
      <w:r>
        <w:rPr>
          <w:rFonts w:hint="eastAsia" w:cs="仿宋"/>
          <w:bCs w:val="0"/>
          <w:sz w:val="32"/>
          <w:szCs w:val="32"/>
        </w:rPr>
        <w:t>第一章 总  则</w:t>
      </w:r>
    </w:p>
    <w:p w14:paraId="6894FD1A">
      <w:pPr>
        <w:spacing w:line="560" w:lineRule="exact"/>
        <w:ind w:firstLine="643" w:firstLineChars="200"/>
        <w:jc w:val="left"/>
        <w:rPr>
          <w:rFonts w:ascii="宋体" w:hAnsi="宋体" w:eastAsia="宋体" w:cs="仿宋"/>
          <w:sz w:val="32"/>
          <w:szCs w:val="32"/>
        </w:rPr>
      </w:pPr>
      <w:r>
        <w:rPr>
          <w:rFonts w:hint="eastAsia" w:ascii="宋体" w:hAnsi="宋体" w:eastAsia="宋体" w:cs="仿宋"/>
          <w:b/>
          <w:sz w:val="32"/>
          <w:szCs w:val="32"/>
        </w:rPr>
        <w:t>第一条</w:t>
      </w:r>
      <w:r>
        <w:rPr>
          <w:rFonts w:hint="eastAsia" w:ascii="宋体" w:hAnsi="宋体" w:eastAsia="宋体" w:cs="仿宋"/>
          <w:sz w:val="32"/>
          <w:szCs w:val="32"/>
        </w:rPr>
        <w:t xml:space="preserve">  为推进我省工程造价咨询行业信用体系建设，规范工程造价咨询企业信用评价工作，引导工程造价咨询企业提升信用水平和履约能力</w:t>
      </w:r>
      <w:bookmarkStart w:id="0" w:name="_Toc15891"/>
      <w:bookmarkStart w:id="1" w:name="_Toc27043"/>
      <w:bookmarkStart w:id="2" w:name="_Toc18094"/>
      <w:r>
        <w:rPr>
          <w:rFonts w:hint="eastAsia" w:ascii="宋体" w:hAnsi="宋体" w:eastAsia="宋体" w:cs="仿宋"/>
          <w:sz w:val="32"/>
          <w:szCs w:val="32"/>
        </w:rPr>
        <w:t>，</w:t>
      </w:r>
      <w:bookmarkEnd w:id="0"/>
      <w:bookmarkEnd w:id="1"/>
      <w:bookmarkEnd w:id="2"/>
      <w:r>
        <w:rPr>
          <w:rFonts w:hint="eastAsia" w:ascii="宋体" w:hAnsi="宋体" w:eastAsia="宋体" w:cs="仿宋"/>
          <w:sz w:val="32"/>
          <w:szCs w:val="32"/>
        </w:rPr>
        <w:t>促进行业健康发展，根据《国务院办公厅关于加快推进社会信用体系建设构建以信用为基础的新型监管机制的指导意见》（国办发</w:t>
      </w:r>
      <w:r>
        <w:rPr>
          <w:rFonts w:hint="eastAsia" w:ascii="宋体" w:hAnsi="宋体" w:eastAsia="宋体" w:cs="仿宋"/>
          <w:spacing w:val="-16"/>
          <w:sz w:val="32"/>
          <w:szCs w:val="32"/>
        </w:rPr>
        <w:t>〔</w:t>
      </w:r>
      <w:r>
        <w:rPr>
          <w:rFonts w:hint="eastAsia" w:ascii="宋体" w:hAnsi="宋体" w:eastAsia="宋体" w:cs="仿宋"/>
          <w:sz w:val="32"/>
          <w:szCs w:val="32"/>
        </w:rPr>
        <w:t>2019</w:t>
      </w:r>
      <w:r>
        <w:rPr>
          <w:rFonts w:hint="eastAsia" w:ascii="宋体" w:hAnsi="宋体" w:eastAsia="宋体" w:cs="仿宋"/>
          <w:spacing w:val="-16"/>
          <w:sz w:val="32"/>
          <w:szCs w:val="32"/>
        </w:rPr>
        <w:t>〕</w:t>
      </w:r>
      <w:r>
        <w:rPr>
          <w:rFonts w:hint="eastAsia" w:ascii="宋体" w:hAnsi="宋体" w:eastAsia="宋体" w:cs="仿宋"/>
          <w:sz w:val="32"/>
          <w:szCs w:val="32"/>
        </w:rPr>
        <w:t>35号）、《住房和城乡建设部办公厅关于取消工程造价咨询企业资质审批加强事中事后监管的通知》（建办标〔2021〕26号）、《中国建设工程造价管理协会工程造价咨询企业信用评价管理办法》（中价协〔2022〕26号）等文件的规定，制定本办法。</w:t>
      </w:r>
    </w:p>
    <w:p w14:paraId="5CA76EFA">
      <w:pPr>
        <w:pStyle w:val="14"/>
        <w:spacing w:line="560" w:lineRule="exact"/>
        <w:ind w:firstLine="643"/>
        <w:rPr>
          <w:rFonts w:ascii="宋体" w:hAnsi="宋体" w:eastAsia="宋体" w:cs="仿宋"/>
          <w:b/>
          <w:sz w:val="32"/>
          <w:szCs w:val="32"/>
        </w:rPr>
      </w:pPr>
      <w:r>
        <w:rPr>
          <w:rFonts w:hint="eastAsia" w:ascii="宋体" w:hAnsi="宋体" w:eastAsia="宋体" w:cs="仿宋"/>
          <w:b/>
          <w:sz w:val="32"/>
          <w:szCs w:val="32"/>
        </w:rPr>
        <w:t xml:space="preserve">第二条  </w:t>
      </w:r>
      <w:r>
        <w:rPr>
          <w:rFonts w:hint="eastAsia" w:ascii="宋体" w:hAnsi="宋体" w:eastAsia="宋体" w:cs="仿宋"/>
          <w:sz w:val="32"/>
          <w:szCs w:val="32"/>
        </w:rPr>
        <w:t>工程造价咨询企业信用是企业履约能力、履约意愿、历史信用记录等的综合反映。</w:t>
      </w:r>
    </w:p>
    <w:p w14:paraId="2619B787">
      <w:pPr>
        <w:pStyle w:val="14"/>
        <w:spacing w:line="560" w:lineRule="exact"/>
        <w:ind w:firstLine="643"/>
        <w:rPr>
          <w:rFonts w:ascii="宋体" w:hAnsi="宋体" w:eastAsia="宋体" w:cs="仿宋"/>
          <w:sz w:val="32"/>
          <w:szCs w:val="32"/>
        </w:rPr>
      </w:pPr>
      <w:r>
        <w:rPr>
          <w:rFonts w:hint="eastAsia" w:ascii="宋体" w:hAnsi="宋体" w:eastAsia="宋体" w:cs="仿宋"/>
          <w:b/>
          <w:sz w:val="32"/>
          <w:szCs w:val="32"/>
        </w:rPr>
        <w:t>第三条</w:t>
      </w:r>
      <w:r>
        <w:rPr>
          <w:rFonts w:hint="eastAsia" w:ascii="宋体" w:hAnsi="宋体" w:eastAsia="宋体" w:cs="仿宋"/>
          <w:sz w:val="32"/>
          <w:szCs w:val="32"/>
        </w:rPr>
        <w:t xml:space="preserve">  信用评价是指对工程造价咨询企业的基本情况、经营管理、良好行为及不良行为等开展评价、确定信用等级及对信用信息进行记录、发布等的活动。</w:t>
      </w:r>
    </w:p>
    <w:p w14:paraId="57955B12">
      <w:pPr>
        <w:spacing w:line="560" w:lineRule="exact"/>
        <w:ind w:firstLine="643"/>
        <w:rPr>
          <w:rFonts w:ascii="宋体" w:hAnsi="宋体" w:eastAsia="宋体" w:cs="仿宋"/>
          <w:sz w:val="32"/>
          <w:szCs w:val="32"/>
        </w:rPr>
      </w:pPr>
      <w:r>
        <w:rPr>
          <w:rFonts w:hint="eastAsia" w:ascii="宋体" w:hAnsi="宋体" w:eastAsia="宋体" w:cs="仿宋"/>
          <w:b/>
          <w:sz w:val="32"/>
          <w:szCs w:val="32"/>
        </w:rPr>
        <w:t>第四条</w:t>
      </w:r>
      <w:r>
        <w:rPr>
          <w:rFonts w:hint="eastAsia" w:ascii="宋体" w:hAnsi="宋体" w:eastAsia="宋体" w:cs="仿宋"/>
          <w:sz w:val="32"/>
          <w:szCs w:val="32"/>
        </w:rPr>
        <w:t xml:space="preserve">  本办法适用于河北省建筑市场发展研究会（简称“研究会”）对单位会员中自愿参加信用评价的工程造价咨询企业信用进行评价及监督管理。</w:t>
      </w:r>
    </w:p>
    <w:p w14:paraId="71437DD4">
      <w:pPr>
        <w:pStyle w:val="2"/>
        <w:spacing w:line="560" w:lineRule="exact"/>
        <w:jc w:val="center"/>
        <w:rPr>
          <w:rFonts w:cs="仿宋"/>
          <w:bCs w:val="0"/>
          <w:sz w:val="32"/>
          <w:szCs w:val="32"/>
        </w:rPr>
      </w:pPr>
      <w:r>
        <w:rPr>
          <w:rFonts w:hint="eastAsia" w:cs="仿宋"/>
          <w:bCs w:val="0"/>
          <w:sz w:val="32"/>
          <w:szCs w:val="32"/>
        </w:rPr>
        <w:t>第二章 评价组织和职责</w:t>
      </w:r>
    </w:p>
    <w:p w14:paraId="10ED7511">
      <w:pPr>
        <w:spacing w:line="560" w:lineRule="exact"/>
        <w:ind w:firstLine="660"/>
        <w:rPr>
          <w:rFonts w:ascii="宋体" w:hAnsi="宋体" w:eastAsia="宋体" w:cs="仿宋"/>
          <w:sz w:val="32"/>
          <w:szCs w:val="32"/>
        </w:rPr>
      </w:pPr>
      <w:r>
        <w:rPr>
          <w:rFonts w:hint="eastAsia" w:ascii="宋体" w:hAnsi="宋体" w:eastAsia="宋体" w:cs="仿宋"/>
          <w:b/>
          <w:sz w:val="32"/>
          <w:szCs w:val="32"/>
        </w:rPr>
        <w:t xml:space="preserve">第五条  </w:t>
      </w:r>
      <w:r>
        <w:rPr>
          <w:rFonts w:hint="eastAsia" w:ascii="宋体" w:hAnsi="宋体" w:eastAsia="宋体" w:cs="仿宋"/>
          <w:sz w:val="32"/>
          <w:szCs w:val="32"/>
        </w:rPr>
        <w:t>研究会负责工程造价咨询企业信用评价的组织和管理工作，负责信用评价系统的开发、运行和维护，确保信用评价系统运行可靠、信息共享、数据安全。</w:t>
      </w:r>
    </w:p>
    <w:p w14:paraId="0E0B6383">
      <w:pPr>
        <w:spacing w:line="560" w:lineRule="exact"/>
        <w:ind w:firstLine="660"/>
        <w:rPr>
          <w:rFonts w:ascii="宋体" w:hAnsi="宋体" w:eastAsia="宋体" w:cs="仿宋"/>
          <w:sz w:val="32"/>
          <w:szCs w:val="32"/>
        </w:rPr>
      </w:pPr>
      <w:r>
        <w:rPr>
          <w:rFonts w:hint="eastAsia" w:ascii="宋体" w:hAnsi="宋体" w:eastAsia="宋体" w:cs="仿宋"/>
          <w:b/>
          <w:sz w:val="32"/>
          <w:szCs w:val="32"/>
        </w:rPr>
        <w:t>第六条</w:t>
      </w:r>
      <w:r>
        <w:rPr>
          <w:rFonts w:hint="eastAsia" w:ascii="宋体" w:hAnsi="宋体" w:eastAsia="宋体" w:cs="仿宋"/>
          <w:sz w:val="32"/>
          <w:szCs w:val="32"/>
        </w:rPr>
        <w:t xml:space="preserve">  研究会工程造价专家委员会负责具体评价工作，包括选定评价专家，组建信用评价评审组与申诉组，各小组依据评价标准认真、严肃、公正、公平的做好评审和申诉工作。</w:t>
      </w:r>
    </w:p>
    <w:p w14:paraId="101C5014">
      <w:pPr>
        <w:spacing w:line="560" w:lineRule="exact"/>
        <w:ind w:firstLine="643"/>
        <w:rPr>
          <w:rFonts w:ascii="宋体" w:hAnsi="宋体" w:eastAsia="宋体" w:cs="仿宋"/>
          <w:sz w:val="32"/>
          <w:szCs w:val="32"/>
        </w:rPr>
      </w:pPr>
      <w:r>
        <w:rPr>
          <w:rFonts w:hint="eastAsia" w:ascii="宋体" w:hAnsi="宋体" w:eastAsia="宋体" w:cs="仿宋"/>
          <w:b/>
          <w:sz w:val="32"/>
          <w:szCs w:val="32"/>
        </w:rPr>
        <w:t>第七条</w:t>
      </w:r>
      <w:r>
        <w:rPr>
          <w:rFonts w:hint="eastAsia" w:ascii="宋体" w:hAnsi="宋体" w:eastAsia="宋体" w:cs="仿宋"/>
          <w:sz w:val="32"/>
          <w:szCs w:val="32"/>
        </w:rPr>
        <w:t xml:space="preserve">  工作职责</w:t>
      </w:r>
    </w:p>
    <w:p w14:paraId="68BCB0AD">
      <w:pPr>
        <w:spacing w:line="560" w:lineRule="exact"/>
        <w:ind w:firstLine="640"/>
        <w:rPr>
          <w:rFonts w:ascii="宋体" w:hAnsi="宋体" w:eastAsia="宋体" w:cs="仿宋"/>
          <w:sz w:val="32"/>
          <w:szCs w:val="32"/>
        </w:rPr>
      </w:pPr>
      <w:r>
        <w:rPr>
          <w:rFonts w:hint="eastAsia" w:ascii="宋体" w:hAnsi="宋体" w:eastAsia="宋体" w:cs="仿宋"/>
          <w:sz w:val="32"/>
          <w:szCs w:val="32"/>
        </w:rPr>
        <w:t>（一）掌握评价政策、标准、规范，监督、检查信用评价工作；</w:t>
      </w:r>
    </w:p>
    <w:p w14:paraId="047ABC0A">
      <w:pPr>
        <w:spacing w:line="560" w:lineRule="exact"/>
        <w:ind w:firstLine="640"/>
        <w:rPr>
          <w:rFonts w:ascii="宋体" w:hAnsi="宋体" w:eastAsia="宋体" w:cs="仿宋"/>
          <w:sz w:val="32"/>
          <w:szCs w:val="32"/>
        </w:rPr>
      </w:pPr>
      <w:r>
        <w:rPr>
          <w:rFonts w:hint="eastAsia" w:ascii="宋体" w:hAnsi="宋体" w:eastAsia="宋体" w:cs="仿宋"/>
          <w:sz w:val="32"/>
          <w:szCs w:val="32"/>
        </w:rPr>
        <w:t>（二）领导评审组专家开展信用评审；</w:t>
      </w:r>
    </w:p>
    <w:p w14:paraId="7C2AC576">
      <w:pPr>
        <w:spacing w:line="560" w:lineRule="exact"/>
        <w:ind w:firstLine="640"/>
        <w:rPr>
          <w:rFonts w:ascii="宋体" w:hAnsi="宋体" w:eastAsia="宋体" w:cs="仿宋"/>
          <w:sz w:val="32"/>
          <w:szCs w:val="32"/>
        </w:rPr>
      </w:pPr>
      <w:r>
        <w:rPr>
          <w:rFonts w:hint="eastAsia" w:ascii="宋体" w:hAnsi="宋体" w:eastAsia="宋体" w:cs="仿宋"/>
          <w:sz w:val="32"/>
          <w:szCs w:val="32"/>
        </w:rPr>
        <w:t>（三）组织申诉组专家对投诉、举报问题进行调查、核</w:t>
      </w:r>
    </w:p>
    <w:p w14:paraId="2FD84462">
      <w:pPr>
        <w:spacing w:line="560" w:lineRule="exact"/>
        <w:rPr>
          <w:rFonts w:ascii="宋体" w:hAnsi="宋体" w:eastAsia="宋体" w:cs="仿宋"/>
          <w:sz w:val="32"/>
          <w:szCs w:val="32"/>
        </w:rPr>
      </w:pPr>
      <w:r>
        <w:rPr>
          <w:rFonts w:hint="eastAsia" w:ascii="宋体" w:hAnsi="宋体" w:eastAsia="宋体" w:cs="仿宋"/>
          <w:sz w:val="32"/>
          <w:szCs w:val="32"/>
        </w:rPr>
        <w:t>实，给出处理意见；</w:t>
      </w:r>
    </w:p>
    <w:p w14:paraId="40EB1EFE">
      <w:pPr>
        <w:spacing w:line="560" w:lineRule="exact"/>
        <w:ind w:firstLine="640" w:firstLineChars="200"/>
        <w:rPr>
          <w:rFonts w:ascii="宋体" w:hAnsi="宋体" w:eastAsia="宋体" w:cs="仿宋"/>
          <w:sz w:val="32"/>
          <w:szCs w:val="32"/>
        </w:rPr>
      </w:pPr>
      <w:r>
        <w:rPr>
          <w:rFonts w:hint="eastAsia" w:ascii="宋体" w:hAnsi="宋体" w:eastAsia="宋体" w:cs="仿宋"/>
          <w:sz w:val="32"/>
          <w:szCs w:val="32"/>
        </w:rPr>
        <w:t>（四）与信用评价相关的其他工作。</w:t>
      </w:r>
    </w:p>
    <w:p w14:paraId="0BA0B0B3">
      <w:pPr>
        <w:pStyle w:val="2"/>
        <w:spacing w:line="560" w:lineRule="exact"/>
        <w:jc w:val="center"/>
        <w:rPr>
          <w:rFonts w:cs="仿宋"/>
          <w:bCs w:val="0"/>
          <w:sz w:val="32"/>
          <w:szCs w:val="32"/>
        </w:rPr>
      </w:pPr>
      <w:r>
        <w:rPr>
          <w:rFonts w:hint="eastAsia" w:cs="仿宋"/>
          <w:bCs w:val="0"/>
          <w:sz w:val="32"/>
          <w:szCs w:val="32"/>
        </w:rPr>
        <w:t>第三章 信用评价的依据和原则</w:t>
      </w:r>
    </w:p>
    <w:p w14:paraId="44027EAF">
      <w:pPr>
        <w:spacing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第八条  </w:t>
      </w:r>
      <w:r>
        <w:rPr>
          <w:rFonts w:hint="eastAsia" w:ascii="宋体" w:hAnsi="宋体" w:eastAsia="宋体" w:cs="仿宋"/>
          <w:sz w:val="32"/>
          <w:szCs w:val="32"/>
        </w:rPr>
        <w:t>信用评价工作的依据：</w:t>
      </w:r>
    </w:p>
    <w:p w14:paraId="60996BCC">
      <w:pPr>
        <w:spacing w:line="560" w:lineRule="exact"/>
        <w:ind w:firstLine="643"/>
        <w:rPr>
          <w:rFonts w:ascii="宋体" w:hAnsi="宋体" w:eastAsia="宋体" w:cs="仿宋"/>
          <w:sz w:val="32"/>
          <w:szCs w:val="32"/>
        </w:rPr>
      </w:pPr>
      <w:r>
        <w:rPr>
          <w:rFonts w:hint="eastAsia" w:ascii="宋体" w:hAnsi="宋体" w:eastAsia="宋体" w:cs="仿宋"/>
          <w:sz w:val="32"/>
          <w:szCs w:val="32"/>
        </w:rPr>
        <w:t>（一）国家、省有关法律、法规、规章等；</w:t>
      </w:r>
    </w:p>
    <w:p w14:paraId="4A6B461B">
      <w:pPr>
        <w:spacing w:line="560" w:lineRule="exact"/>
        <w:ind w:firstLine="643"/>
        <w:rPr>
          <w:rFonts w:ascii="宋体" w:hAnsi="宋体" w:eastAsia="宋体" w:cs="仿宋"/>
          <w:sz w:val="32"/>
          <w:szCs w:val="32"/>
        </w:rPr>
      </w:pPr>
      <w:r>
        <w:rPr>
          <w:rFonts w:hint="eastAsia" w:ascii="宋体" w:hAnsi="宋体" w:eastAsia="宋体" w:cs="仿宋"/>
          <w:sz w:val="32"/>
          <w:szCs w:val="32"/>
        </w:rPr>
        <w:t>（二）行业规范性文件、规定及标准等；</w:t>
      </w:r>
    </w:p>
    <w:p w14:paraId="71EC616C">
      <w:pPr>
        <w:spacing w:line="560" w:lineRule="exact"/>
        <w:ind w:firstLine="643"/>
        <w:rPr>
          <w:rFonts w:ascii="宋体" w:hAnsi="宋体" w:eastAsia="宋体" w:cs="仿宋"/>
          <w:sz w:val="32"/>
          <w:szCs w:val="32"/>
        </w:rPr>
      </w:pPr>
      <w:r>
        <w:rPr>
          <w:rFonts w:hint="eastAsia" w:ascii="宋体" w:hAnsi="宋体" w:eastAsia="宋体" w:cs="仿宋"/>
          <w:sz w:val="32"/>
          <w:szCs w:val="32"/>
        </w:rPr>
        <w:t>（三）政府有关部门和工程造价行业管理机构及行业协</w:t>
      </w:r>
    </w:p>
    <w:p w14:paraId="5EE84B57">
      <w:pPr>
        <w:spacing w:line="560" w:lineRule="exact"/>
        <w:rPr>
          <w:rFonts w:ascii="宋体" w:hAnsi="宋体" w:eastAsia="宋体" w:cs="仿宋"/>
          <w:sz w:val="32"/>
          <w:szCs w:val="32"/>
        </w:rPr>
      </w:pPr>
      <w:r>
        <w:rPr>
          <w:rFonts w:hint="eastAsia" w:ascii="宋体" w:hAnsi="宋体" w:eastAsia="宋体" w:cs="仿宋"/>
          <w:sz w:val="32"/>
          <w:szCs w:val="32"/>
        </w:rPr>
        <w:t>会的表彰、表扬、奖励、专项检查、核查、抽查结果等；</w:t>
      </w:r>
    </w:p>
    <w:p w14:paraId="0C0749D5">
      <w:pPr>
        <w:spacing w:line="560" w:lineRule="exact"/>
        <w:ind w:firstLine="643"/>
        <w:rPr>
          <w:rFonts w:ascii="宋体" w:hAnsi="宋体" w:eastAsia="宋体" w:cs="仿宋"/>
          <w:sz w:val="32"/>
          <w:szCs w:val="32"/>
        </w:rPr>
      </w:pPr>
      <w:r>
        <w:rPr>
          <w:rFonts w:hint="eastAsia" w:ascii="宋体" w:hAnsi="宋体" w:eastAsia="宋体" w:cs="仿宋"/>
          <w:sz w:val="32"/>
          <w:szCs w:val="32"/>
        </w:rPr>
        <w:t xml:space="preserve">（四）已生效的判决书或仲裁裁决书； </w:t>
      </w:r>
    </w:p>
    <w:p w14:paraId="61C12B04">
      <w:pPr>
        <w:spacing w:line="560" w:lineRule="exact"/>
        <w:ind w:firstLine="643"/>
        <w:rPr>
          <w:rFonts w:ascii="宋体" w:hAnsi="宋体" w:eastAsia="宋体" w:cs="仿宋"/>
          <w:sz w:val="32"/>
          <w:szCs w:val="32"/>
        </w:rPr>
      </w:pPr>
      <w:r>
        <w:rPr>
          <w:rFonts w:hint="eastAsia" w:ascii="宋体" w:hAnsi="宋体" w:eastAsia="宋体" w:cs="仿宋"/>
          <w:sz w:val="32"/>
          <w:szCs w:val="32"/>
        </w:rPr>
        <w:t>（五）已生效的行政或司法机关的处罚决定书；</w:t>
      </w:r>
    </w:p>
    <w:p w14:paraId="14F04C46">
      <w:pPr>
        <w:spacing w:line="560" w:lineRule="exact"/>
        <w:ind w:firstLine="643"/>
        <w:rPr>
          <w:rFonts w:ascii="宋体" w:hAnsi="宋体" w:eastAsia="宋体" w:cs="仿宋"/>
          <w:sz w:val="32"/>
          <w:szCs w:val="32"/>
        </w:rPr>
      </w:pPr>
      <w:r>
        <w:rPr>
          <w:rFonts w:hint="eastAsia" w:ascii="宋体" w:hAnsi="宋体" w:eastAsia="宋体" w:cs="仿宋"/>
          <w:sz w:val="32"/>
          <w:szCs w:val="32"/>
        </w:rPr>
        <w:t>（六）工程造价咨询统计调查制度；</w:t>
      </w:r>
    </w:p>
    <w:p w14:paraId="16C26006">
      <w:pPr>
        <w:spacing w:line="560" w:lineRule="exact"/>
        <w:ind w:firstLine="643"/>
        <w:rPr>
          <w:rFonts w:ascii="宋体" w:hAnsi="宋体" w:eastAsia="宋体" w:cs="仿宋"/>
          <w:sz w:val="32"/>
          <w:szCs w:val="32"/>
        </w:rPr>
      </w:pPr>
      <w:r>
        <w:rPr>
          <w:rFonts w:hint="eastAsia" w:ascii="宋体" w:hAnsi="宋体" w:eastAsia="宋体" w:cs="仿宋"/>
          <w:sz w:val="32"/>
          <w:szCs w:val="32"/>
        </w:rPr>
        <w:t>（七）各级工程造价咨询监管系统中的有关信息；</w:t>
      </w:r>
    </w:p>
    <w:p w14:paraId="0CF45ECB">
      <w:pPr>
        <w:spacing w:line="560" w:lineRule="exact"/>
        <w:ind w:firstLine="643"/>
        <w:rPr>
          <w:rFonts w:ascii="宋体" w:hAnsi="宋体" w:eastAsia="宋体" w:cs="仿宋"/>
          <w:sz w:val="32"/>
          <w:szCs w:val="32"/>
        </w:rPr>
      </w:pPr>
      <w:r>
        <w:rPr>
          <w:rFonts w:hint="eastAsia" w:ascii="宋体" w:hAnsi="宋体" w:eastAsia="宋体" w:cs="仿宋"/>
          <w:sz w:val="32"/>
          <w:szCs w:val="32"/>
        </w:rPr>
        <w:t>（八）企业在住建部、省住建厅及各地市主管部门和中价协、研究会系统中上报的相关数据；</w:t>
      </w:r>
    </w:p>
    <w:p w14:paraId="02163608">
      <w:pPr>
        <w:spacing w:line="560" w:lineRule="exact"/>
        <w:ind w:firstLine="643"/>
        <w:rPr>
          <w:rFonts w:ascii="宋体" w:hAnsi="宋体" w:eastAsia="宋体" w:cs="仿宋"/>
          <w:sz w:val="32"/>
          <w:szCs w:val="32"/>
        </w:rPr>
      </w:pPr>
      <w:r>
        <w:rPr>
          <w:rFonts w:hint="eastAsia" w:ascii="宋体" w:hAnsi="宋体" w:eastAsia="宋体" w:cs="仿宋"/>
          <w:sz w:val="32"/>
          <w:szCs w:val="32"/>
        </w:rPr>
        <w:t>（九）企业在各级政府机关或部门的信用档案信息；</w:t>
      </w:r>
    </w:p>
    <w:p w14:paraId="7729A179">
      <w:pPr>
        <w:spacing w:line="560" w:lineRule="exact"/>
        <w:ind w:firstLine="643"/>
        <w:rPr>
          <w:rFonts w:ascii="宋体" w:hAnsi="宋体" w:eastAsia="宋体" w:cs="仿宋"/>
          <w:sz w:val="32"/>
          <w:szCs w:val="32"/>
        </w:rPr>
      </w:pPr>
      <w:r>
        <w:rPr>
          <w:rFonts w:hint="eastAsia" w:ascii="宋体" w:hAnsi="宋体" w:eastAsia="宋体" w:cs="仿宋"/>
          <w:sz w:val="32"/>
          <w:szCs w:val="32"/>
        </w:rPr>
        <w:t>（十）企业从业人员在各级政府机关或部门的信用档案</w:t>
      </w:r>
    </w:p>
    <w:p w14:paraId="7CC629C1">
      <w:pPr>
        <w:spacing w:line="560" w:lineRule="exact"/>
        <w:rPr>
          <w:rFonts w:ascii="宋体" w:hAnsi="宋体" w:eastAsia="宋体" w:cs="仿宋"/>
          <w:sz w:val="32"/>
          <w:szCs w:val="32"/>
        </w:rPr>
      </w:pPr>
      <w:r>
        <w:rPr>
          <w:rFonts w:hint="eastAsia" w:ascii="宋体" w:hAnsi="宋体" w:eastAsia="宋体" w:cs="仿宋"/>
          <w:sz w:val="32"/>
          <w:szCs w:val="32"/>
        </w:rPr>
        <w:t>信息；</w:t>
      </w:r>
    </w:p>
    <w:p w14:paraId="395F8EC8">
      <w:pPr>
        <w:spacing w:line="560" w:lineRule="exact"/>
        <w:ind w:firstLine="643"/>
        <w:rPr>
          <w:rFonts w:ascii="宋体" w:hAnsi="宋体" w:eastAsia="宋体" w:cs="仿宋"/>
          <w:sz w:val="32"/>
          <w:szCs w:val="32"/>
        </w:rPr>
      </w:pPr>
      <w:r>
        <w:rPr>
          <w:rFonts w:hint="eastAsia" w:ascii="宋体" w:hAnsi="宋体" w:eastAsia="宋体" w:cs="仿宋"/>
          <w:sz w:val="32"/>
          <w:szCs w:val="32"/>
        </w:rPr>
        <w:t>（十一）其它相关信用信息等。</w:t>
      </w:r>
    </w:p>
    <w:p w14:paraId="3B6A7FAC">
      <w:pPr>
        <w:spacing w:line="560" w:lineRule="exact"/>
        <w:ind w:firstLine="643"/>
        <w:rPr>
          <w:rFonts w:ascii="宋体" w:hAnsi="宋体" w:eastAsia="宋体" w:cs="仿宋"/>
          <w:sz w:val="32"/>
          <w:szCs w:val="32"/>
        </w:rPr>
      </w:pPr>
      <w:r>
        <w:rPr>
          <w:rFonts w:hint="eastAsia" w:ascii="宋体" w:hAnsi="宋体" w:eastAsia="宋体" w:cs="仿宋"/>
          <w:b/>
          <w:sz w:val="32"/>
          <w:szCs w:val="32"/>
        </w:rPr>
        <w:t xml:space="preserve">第九条  </w:t>
      </w:r>
      <w:r>
        <w:rPr>
          <w:rFonts w:hint="eastAsia" w:ascii="宋体" w:hAnsi="宋体" w:eastAsia="宋体" w:cs="仿宋"/>
          <w:sz w:val="32"/>
          <w:szCs w:val="32"/>
        </w:rPr>
        <w:t>信用评价工作遵循以下原则：</w:t>
      </w:r>
    </w:p>
    <w:p w14:paraId="6B46676F">
      <w:pPr>
        <w:spacing w:line="560" w:lineRule="exact"/>
        <w:ind w:firstLine="643"/>
        <w:rPr>
          <w:rFonts w:ascii="宋体" w:hAnsi="宋体" w:eastAsia="宋体" w:cs="仿宋"/>
          <w:sz w:val="32"/>
          <w:szCs w:val="32"/>
        </w:rPr>
      </w:pPr>
      <w:r>
        <w:rPr>
          <w:rFonts w:hint="eastAsia" w:ascii="宋体" w:hAnsi="宋体" w:eastAsia="宋体" w:cs="仿宋"/>
          <w:sz w:val="32"/>
          <w:szCs w:val="32"/>
        </w:rPr>
        <w:t xml:space="preserve">（一）独立、客观、公正、科学； </w:t>
      </w:r>
    </w:p>
    <w:p w14:paraId="6B2A51D0">
      <w:pPr>
        <w:spacing w:line="560" w:lineRule="exact"/>
        <w:ind w:firstLine="643"/>
        <w:rPr>
          <w:rFonts w:ascii="宋体" w:hAnsi="宋体" w:eastAsia="宋体" w:cs="仿宋"/>
          <w:sz w:val="32"/>
          <w:szCs w:val="32"/>
        </w:rPr>
      </w:pPr>
      <w:r>
        <w:rPr>
          <w:rFonts w:hint="eastAsia" w:ascii="宋体" w:hAnsi="宋体" w:eastAsia="宋体" w:cs="仿宋"/>
          <w:sz w:val="32"/>
          <w:szCs w:val="32"/>
        </w:rPr>
        <w:t>（二）保护国家秘密、商业秘密和个人隐私；</w:t>
      </w:r>
    </w:p>
    <w:p w14:paraId="31759FA8">
      <w:pPr>
        <w:spacing w:line="560" w:lineRule="exact"/>
        <w:ind w:firstLine="643"/>
        <w:rPr>
          <w:rFonts w:ascii="宋体" w:hAnsi="宋体" w:eastAsia="宋体" w:cs="仿宋"/>
          <w:sz w:val="32"/>
          <w:szCs w:val="32"/>
        </w:rPr>
      </w:pPr>
      <w:r>
        <w:rPr>
          <w:rFonts w:hint="eastAsia" w:ascii="宋体" w:hAnsi="宋体" w:eastAsia="宋体" w:cs="仿宋"/>
          <w:sz w:val="32"/>
          <w:szCs w:val="32"/>
        </w:rPr>
        <w:t>（三）社会需求和行业发展导向相结合；</w:t>
      </w:r>
    </w:p>
    <w:p w14:paraId="3FA7F843">
      <w:pPr>
        <w:spacing w:line="560" w:lineRule="exact"/>
        <w:ind w:firstLine="643"/>
        <w:rPr>
          <w:rFonts w:ascii="宋体" w:hAnsi="宋体" w:eastAsia="宋体" w:cs="仿宋"/>
          <w:sz w:val="32"/>
          <w:szCs w:val="32"/>
        </w:rPr>
      </w:pPr>
      <w:r>
        <w:rPr>
          <w:rFonts w:hint="eastAsia" w:ascii="宋体" w:hAnsi="宋体" w:eastAsia="宋体" w:cs="仿宋"/>
          <w:sz w:val="32"/>
          <w:szCs w:val="32"/>
        </w:rPr>
        <w:t>（四）充分利用信息化手段，减轻企业负担；</w:t>
      </w:r>
    </w:p>
    <w:p w14:paraId="03C20F92">
      <w:pPr>
        <w:spacing w:line="560" w:lineRule="exact"/>
        <w:ind w:firstLine="643"/>
        <w:rPr>
          <w:rFonts w:ascii="宋体" w:hAnsi="宋体" w:eastAsia="宋体" w:cs="仿宋"/>
          <w:sz w:val="32"/>
          <w:szCs w:val="32"/>
        </w:rPr>
      </w:pPr>
      <w:r>
        <w:rPr>
          <w:rFonts w:hint="eastAsia" w:ascii="宋体" w:hAnsi="宋体" w:eastAsia="宋体" w:cs="仿宋"/>
          <w:sz w:val="32"/>
          <w:szCs w:val="32"/>
        </w:rPr>
        <w:t>（五）能力与信用相结合；</w:t>
      </w:r>
    </w:p>
    <w:p w14:paraId="241D5AF5">
      <w:pPr>
        <w:spacing w:line="560" w:lineRule="exact"/>
        <w:ind w:firstLine="643"/>
        <w:rPr>
          <w:rFonts w:ascii="宋体" w:hAnsi="宋体" w:eastAsia="宋体" w:cs="仿宋"/>
          <w:sz w:val="32"/>
          <w:szCs w:val="32"/>
        </w:rPr>
      </w:pPr>
      <w:r>
        <w:rPr>
          <w:rFonts w:hint="eastAsia" w:ascii="宋体" w:hAnsi="宋体" w:eastAsia="宋体" w:cs="仿宋"/>
          <w:sz w:val="32"/>
          <w:szCs w:val="32"/>
        </w:rPr>
        <w:t>（六）企业自愿。</w:t>
      </w:r>
    </w:p>
    <w:p w14:paraId="04F031F8">
      <w:pPr>
        <w:pStyle w:val="2"/>
        <w:spacing w:line="560" w:lineRule="exact"/>
        <w:jc w:val="center"/>
        <w:rPr>
          <w:rFonts w:cs="仿宋"/>
          <w:bCs w:val="0"/>
          <w:sz w:val="32"/>
          <w:szCs w:val="32"/>
        </w:rPr>
      </w:pPr>
      <w:r>
        <w:rPr>
          <w:rFonts w:hint="eastAsia" w:cs="仿宋"/>
          <w:bCs w:val="0"/>
          <w:sz w:val="32"/>
          <w:szCs w:val="32"/>
        </w:rPr>
        <w:t>第四章  信用评价内容和标准</w:t>
      </w:r>
    </w:p>
    <w:p w14:paraId="7626F9D0">
      <w:pPr>
        <w:pStyle w:val="3"/>
        <w:spacing w:line="560" w:lineRule="exact"/>
        <w:ind w:firstLine="643"/>
        <w:rPr>
          <w:rFonts w:ascii="宋体" w:hAnsi="宋体" w:cs="仿宋"/>
          <w:sz w:val="32"/>
          <w:szCs w:val="32"/>
        </w:rPr>
      </w:pPr>
      <w:r>
        <w:rPr>
          <w:rFonts w:hint="eastAsia" w:ascii="宋体" w:hAnsi="宋体" w:cs="仿宋"/>
          <w:b/>
          <w:sz w:val="32"/>
          <w:szCs w:val="32"/>
        </w:rPr>
        <w:t xml:space="preserve">第十条  </w:t>
      </w:r>
      <w:r>
        <w:rPr>
          <w:rFonts w:hint="eastAsia" w:ascii="宋体" w:hAnsi="宋体" w:cs="仿宋"/>
          <w:sz w:val="32"/>
          <w:szCs w:val="32"/>
        </w:rPr>
        <w:t>信用评价的内容主要包括：</w:t>
      </w:r>
    </w:p>
    <w:p w14:paraId="3B311D79">
      <w:pPr>
        <w:pStyle w:val="3"/>
        <w:spacing w:line="560" w:lineRule="exact"/>
        <w:ind w:firstLine="640"/>
        <w:rPr>
          <w:rFonts w:ascii="宋体" w:hAnsi="宋体" w:cs="仿宋"/>
          <w:sz w:val="32"/>
          <w:szCs w:val="32"/>
        </w:rPr>
      </w:pPr>
      <w:r>
        <w:rPr>
          <w:rFonts w:hint="eastAsia" w:ascii="宋体" w:hAnsi="宋体" w:cs="仿宋"/>
          <w:sz w:val="32"/>
          <w:szCs w:val="32"/>
        </w:rPr>
        <w:t>（一）基本情况：人员结构、各类组织、会员情况、行业自律；</w:t>
      </w:r>
    </w:p>
    <w:p w14:paraId="0B6C8947">
      <w:pPr>
        <w:pStyle w:val="3"/>
        <w:spacing w:line="560" w:lineRule="exact"/>
        <w:ind w:firstLine="640"/>
        <w:rPr>
          <w:rFonts w:ascii="宋体" w:hAnsi="宋体" w:cs="仿宋"/>
          <w:sz w:val="32"/>
          <w:szCs w:val="32"/>
        </w:rPr>
      </w:pPr>
      <w:r>
        <w:rPr>
          <w:rFonts w:hint="eastAsia" w:ascii="宋体" w:hAnsi="宋体" w:cs="仿宋"/>
          <w:sz w:val="32"/>
          <w:szCs w:val="32"/>
        </w:rPr>
        <w:t>（二）经营管理：经营能力、管理能力、教育培训、信息化、成果质量、社会评价、文化建设与社会责任；</w:t>
      </w:r>
    </w:p>
    <w:p w14:paraId="00DD163A">
      <w:pPr>
        <w:pStyle w:val="3"/>
        <w:spacing w:line="560" w:lineRule="exact"/>
        <w:ind w:firstLine="640"/>
        <w:rPr>
          <w:rFonts w:ascii="宋体" w:hAnsi="宋体" w:cs="仿宋"/>
          <w:sz w:val="32"/>
          <w:szCs w:val="32"/>
        </w:rPr>
      </w:pPr>
      <w:r>
        <w:rPr>
          <w:rFonts w:hint="eastAsia" w:ascii="宋体" w:hAnsi="宋体" w:cs="仿宋"/>
          <w:sz w:val="32"/>
          <w:szCs w:val="32"/>
        </w:rPr>
        <w:t>（三）良好行为和不良行为：良好行为加分、不良行为扣分。</w:t>
      </w:r>
    </w:p>
    <w:p w14:paraId="71A54CC0">
      <w:pPr>
        <w:spacing w:line="560" w:lineRule="exact"/>
        <w:ind w:firstLine="643"/>
        <w:rPr>
          <w:rFonts w:ascii="宋体" w:hAnsi="宋体" w:eastAsia="宋体" w:cs="仿宋"/>
          <w:sz w:val="32"/>
          <w:szCs w:val="32"/>
        </w:rPr>
      </w:pPr>
      <w:r>
        <w:rPr>
          <w:rFonts w:hint="eastAsia" w:ascii="宋体" w:hAnsi="宋体" w:eastAsia="宋体" w:cs="仿宋"/>
          <w:b/>
          <w:bCs/>
          <w:kern w:val="0"/>
          <w:sz w:val="32"/>
          <w:szCs w:val="32"/>
        </w:rPr>
        <w:t>第十一条</w:t>
      </w:r>
      <w:r>
        <w:rPr>
          <w:rFonts w:hint="eastAsia" w:ascii="宋体" w:hAnsi="宋体" w:eastAsia="宋体" w:cs="仿宋"/>
          <w:sz w:val="32"/>
          <w:szCs w:val="32"/>
        </w:rPr>
        <w:t xml:space="preserve">  信用评价采用百分制对评价内容进行评分，其中：良好行为加分限额10分，不良行为扣分不限额。</w:t>
      </w:r>
    </w:p>
    <w:p w14:paraId="7004D0B0">
      <w:pPr>
        <w:spacing w:line="560" w:lineRule="exact"/>
        <w:ind w:firstLine="643"/>
        <w:rPr>
          <w:rFonts w:ascii="宋体" w:hAnsi="宋体" w:eastAsia="宋体" w:cs="仿宋"/>
          <w:sz w:val="32"/>
          <w:szCs w:val="32"/>
        </w:rPr>
      </w:pPr>
      <w:r>
        <w:rPr>
          <w:rFonts w:hint="eastAsia" w:ascii="宋体" w:hAnsi="宋体" w:eastAsia="宋体" w:cs="仿宋"/>
          <w:sz w:val="32"/>
          <w:szCs w:val="32"/>
        </w:rPr>
        <w:t>良好行为是指工程造价咨询企业在工程造价从业活动中遵守有关工程建设的法律、法规、规章、规范、标准及相关文件的规定，行为规范，诚信经营，自觉维护市场秩序，积极履行社会责任，受到各级人民政府、工程建设行政主管部门等相关政府部门、造价行业管理机构及造价行业协会等的表彰、奖励和表扬等的行为。</w:t>
      </w:r>
    </w:p>
    <w:p w14:paraId="1BE90A52">
      <w:pPr>
        <w:spacing w:line="560" w:lineRule="exact"/>
        <w:ind w:firstLine="643"/>
        <w:rPr>
          <w:rFonts w:ascii="宋体" w:hAnsi="宋体" w:eastAsia="宋体" w:cs="仿宋"/>
          <w:sz w:val="32"/>
          <w:szCs w:val="32"/>
        </w:rPr>
      </w:pPr>
      <w:r>
        <w:rPr>
          <w:rFonts w:hint="eastAsia" w:ascii="宋体" w:hAnsi="宋体" w:eastAsia="宋体" w:cs="仿宋"/>
          <w:sz w:val="32"/>
          <w:szCs w:val="32"/>
        </w:rPr>
        <w:t>不良行为是指工程造价咨询企业在工程造价从业活动中违反有关工程建设的法律、法规、规章、规范、标准及相关文件的规定，受到司法机关处罚或受到各级人民政府、工程建设行政主管部门等相关政府部门、造价行业管理机构等的行政处罚、通报批评、责令整改、约谈等，或受到投诉举报被查实等的行为，或违反行业自律规定受到行业协会惩戒或通报的行为。</w:t>
      </w:r>
    </w:p>
    <w:p w14:paraId="1CB8BD56">
      <w:pPr>
        <w:spacing w:line="560" w:lineRule="exact"/>
        <w:ind w:firstLine="643"/>
        <w:rPr>
          <w:rFonts w:ascii="宋体" w:hAnsi="宋体" w:eastAsia="宋体" w:cs="仿宋"/>
          <w:sz w:val="32"/>
          <w:szCs w:val="32"/>
        </w:rPr>
      </w:pPr>
      <w:r>
        <w:rPr>
          <w:rFonts w:hint="eastAsia" w:ascii="宋体" w:hAnsi="宋体" w:eastAsia="宋体" w:cs="仿宋"/>
          <w:b/>
          <w:sz w:val="32"/>
          <w:szCs w:val="32"/>
        </w:rPr>
        <w:t xml:space="preserve">第十二条  </w:t>
      </w:r>
      <w:r>
        <w:rPr>
          <w:rFonts w:hint="eastAsia" w:ascii="宋体" w:hAnsi="宋体" w:eastAsia="宋体" w:cs="仿宋"/>
          <w:sz w:val="32"/>
          <w:szCs w:val="32"/>
        </w:rPr>
        <w:t>基本情况及经营管理得分评价项满足或超过要求的，评价时按项计分，每项得分不超过该项得分满分；基本情况及经营管理得分评价项不满足要求或违反相关规定的，评价时按项扣分，每一评价项的扣分不超过本项扣分限额；良好行为加分和不良行为扣分分别按附件3加分和附件4扣分标准评价。</w:t>
      </w:r>
    </w:p>
    <w:p w14:paraId="2F9F3D23">
      <w:pPr>
        <w:spacing w:line="560" w:lineRule="exact"/>
        <w:ind w:firstLine="643"/>
        <w:rPr>
          <w:rFonts w:ascii="宋体" w:hAnsi="宋体" w:eastAsia="宋体" w:cs="仿宋"/>
          <w:sz w:val="32"/>
          <w:szCs w:val="32"/>
        </w:rPr>
      </w:pPr>
      <w:r>
        <w:rPr>
          <w:rFonts w:hint="eastAsia" w:ascii="宋体" w:hAnsi="宋体" w:eastAsia="宋体" w:cs="仿宋"/>
          <w:b/>
          <w:sz w:val="32"/>
          <w:szCs w:val="32"/>
        </w:rPr>
        <w:t xml:space="preserve">第十三条  </w:t>
      </w:r>
      <w:r>
        <w:rPr>
          <w:rFonts w:hint="eastAsia" w:ascii="宋体" w:hAnsi="宋体" w:eastAsia="宋体" w:cs="仿宋"/>
          <w:sz w:val="32"/>
          <w:szCs w:val="32"/>
        </w:rPr>
        <w:t>良好行为有效期一般为取得之日起三年，不良行为有效期为其处罚期，无处罚期的一般为认定日期后两年。</w:t>
      </w:r>
    </w:p>
    <w:p w14:paraId="1BA257F1">
      <w:pPr>
        <w:spacing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第十四条  </w:t>
      </w:r>
      <w:r>
        <w:rPr>
          <w:rFonts w:hint="eastAsia" w:ascii="宋体" w:hAnsi="宋体" w:eastAsia="宋体" w:cs="仿宋"/>
          <w:sz w:val="32"/>
          <w:szCs w:val="32"/>
        </w:rPr>
        <w:t>工程造价咨询企业信用等级由高到低分为AAA、AAA</w:t>
      </w:r>
      <w:r>
        <w:rPr>
          <w:rFonts w:hint="eastAsia" w:ascii="宋体" w:hAnsi="宋体" w:eastAsia="宋体" w:cs="仿宋"/>
          <w:b/>
          <w:bCs/>
          <w:sz w:val="32"/>
          <w:szCs w:val="32"/>
          <w:vertAlign w:val="superscript"/>
        </w:rPr>
        <w:t>—</w:t>
      </w:r>
      <w:r>
        <w:rPr>
          <w:rFonts w:hint="eastAsia" w:ascii="宋体" w:hAnsi="宋体" w:eastAsia="宋体" w:cs="仿宋"/>
          <w:sz w:val="32"/>
          <w:szCs w:val="32"/>
        </w:rPr>
        <w:t>、AA、AA</w:t>
      </w:r>
      <w:r>
        <w:rPr>
          <w:rFonts w:hint="eastAsia" w:ascii="宋体" w:hAnsi="宋体" w:eastAsia="宋体" w:cs="仿宋"/>
          <w:b/>
          <w:bCs/>
          <w:sz w:val="32"/>
          <w:szCs w:val="32"/>
          <w:vertAlign w:val="superscript"/>
        </w:rPr>
        <w:t>—</w:t>
      </w:r>
      <w:r>
        <w:rPr>
          <w:rFonts w:hint="eastAsia" w:ascii="宋体" w:hAnsi="宋体" w:eastAsia="宋体" w:cs="仿宋"/>
          <w:sz w:val="32"/>
          <w:szCs w:val="32"/>
        </w:rPr>
        <w:t>、A五级。</w:t>
      </w:r>
    </w:p>
    <w:p w14:paraId="544BE40C">
      <w:pPr>
        <w:spacing w:line="560" w:lineRule="exact"/>
        <w:ind w:firstLine="643" w:firstLineChars="200"/>
        <w:rPr>
          <w:rFonts w:ascii="宋体" w:hAnsi="宋体" w:eastAsia="宋体" w:cs="仿宋"/>
          <w:sz w:val="32"/>
          <w:szCs w:val="32"/>
        </w:rPr>
      </w:pPr>
      <w:r>
        <w:rPr>
          <w:rFonts w:hint="eastAsia" w:ascii="宋体" w:hAnsi="宋体" w:eastAsia="宋体" w:cs="仿宋"/>
          <w:b/>
          <w:sz w:val="32"/>
          <w:szCs w:val="32"/>
        </w:rPr>
        <w:t>第十五条</w:t>
      </w:r>
      <w:r>
        <w:rPr>
          <w:rFonts w:hint="eastAsia" w:ascii="宋体" w:hAnsi="宋体" w:eastAsia="宋体" w:cs="仿宋"/>
          <w:sz w:val="32"/>
          <w:szCs w:val="32"/>
        </w:rPr>
        <w:t xml:space="preserve">  信用评价实行评分制，信用等级根据信用评价标准评分区间确定，信用等级与信用评价得分对应关系如下：</w:t>
      </w:r>
    </w:p>
    <w:p w14:paraId="591FA1E2">
      <w:pPr>
        <w:spacing w:line="560" w:lineRule="exact"/>
        <w:rPr>
          <w:rFonts w:ascii="宋体" w:hAnsi="宋体" w:eastAsia="宋体" w:cs="仿宋"/>
          <w:sz w:val="32"/>
          <w:szCs w:val="32"/>
        </w:rPr>
      </w:pPr>
    </w:p>
    <w:tbl>
      <w:tblPr>
        <w:tblStyle w:val="8"/>
        <w:tblW w:w="7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122"/>
        <w:gridCol w:w="4441"/>
      </w:tblGrid>
      <w:tr w14:paraId="77EF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14:paraId="37FED1EC">
            <w:pPr>
              <w:spacing w:line="560" w:lineRule="exact"/>
              <w:jc w:val="center"/>
              <w:rPr>
                <w:rFonts w:ascii="宋体" w:hAnsi="宋体" w:eastAsia="宋体" w:cs="仿宋"/>
                <w:b/>
                <w:sz w:val="32"/>
                <w:szCs w:val="32"/>
              </w:rPr>
            </w:pPr>
            <w:r>
              <w:rPr>
                <w:rFonts w:hint="eastAsia" w:ascii="宋体" w:hAnsi="宋体" w:eastAsia="宋体" w:cs="仿宋"/>
                <w:b/>
                <w:sz w:val="32"/>
                <w:szCs w:val="32"/>
              </w:rPr>
              <w:t>序号</w:t>
            </w:r>
          </w:p>
        </w:tc>
        <w:tc>
          <w:tcPr>
            <w:tcW w:w="2122" w:type="dxa"/>
            <w:vAlign w:val="center"/>
          </w:tcPr>
          <w:p w14:paraId="0EE50954">
            <w:pPr>
              <w:spacing w:line="560" w:lineRule="exact"/>
              <w:ind w:firstLine="196" w:firstLineChars="61"/>
              <w:jc w:val="center"/>
              <w:rPr>
                <w:rFonts w:ascii="宋体" w:hAnsi="宋体" w:eastAsia="宋体" w:cs="仿宋"/>
                <w:b/>
                <w:sz w:val="32"/>
                <w:szCs w:val="32"/>
              </w:rPr>
            </w:pPr>
            <w:r>
              <w:rPr>
                <w:rFonts w:hint="eastAsia" w:ascii="宋体" w:hAnsi="宋体" w:eastAsia="宋体" w:cs="仿宋"/>
                <w:b/>
                <w:sz w:val="32"/>
                <w:szCs w:val="32"/>
              </w:rPr>
              <w:t>信用等级</w:t>
            </w:r>
          </w:p>
        </w:tc>
        <w:tc>
          <w:tcPr>
            <w:tcW w:w="4441" w:type="dxa"/>
            <w:vAlign w:val="center"/>
          </w:tcPr>
          <w:p w14:paraId="1630249E">
            <w:pPr>
              <w:spacing w:line="560" w:lineRule="exact"/>
              <w:ind w:firstLine="196" w:firstLineChars="61"/>
              <w:jc w:val="center"/>
              <w:rPr>
                <w:rFonts w:ascii="宋体" w:hAnsi="宋体" w:eastAsia="宋体" w:cs="仿宋"/>
                <w:b/>
                <w:sz w:val="32"/>
                <w:szCs w:val="32"/>
              </w:rPr>
            </w:pPr>
            <w:r>
              <w:rPr>
                <w:rFonts w:hint="eastAsia" w:ascii="宋体" w:hAnsi="宋体" w:eastAsia="宋体" w:cs="仿宋"/>
                <w:b/>
                <w:sz w:val="32"/>
                <w:szCs w:val="32"/>
              </w:rPr>
              <w:t>评价得分</w:t>
            </w:r>
          </w:p>
        </w:tc>
      </w:tr>
      <w:tr w14:paraId="110E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14:paraId="31FB2390">
            <w:pPr>
              <w:spacing w:line="560" w:lineRule="exact"/>
              <w:jc w:val="center"/>
              <w:rPr>
                <w:rFonts w:ascii="宋体" w:hAnsi="宋体" w:eastAsia="宋体" w:cs="仿宋"/>
                <w:sz w:val="32"/>
                <w:szCs w:val="32"/>
              </w:rPr>
            </w:pPr>
            <w:r>
              <w:rPr>
                <w:rFonts w:hint="eastAsia" w:ascii="宋体" w:hAnsi="宋体" w:eastAsia="宋体" w:cs="仿宋"/>
                <w:sz w:val="32"/>
                <w:szCs w:val="32"/>
              </w:rPr>
              <w:t>1</w:t>
            </w:r>
          </w:p>
        </w:tc>
        <w:tc>
          <w:tcPr>
            <w:tcW w:w="2122" w:type="dxa"/>
            <w:vAlign w:val="center"/>
          </w:tcPr>
          <w:p w14:paraId="08111B40">
            <w:pPr>
              <w:spacing w:line="560" w:lineRule="exact"/>
              <w:jc w:val="center"/>
              <w:rPr>
                <w:rFonts w:ascii="宋体" w:hAnsi="宋体" w:eastAsia="宋体" w:cs="仿宋"/>
                <w:sz w:val="32"/>
                <w:szCs w:val="32"/>
              </w:rPr>
            </w:pPr>
            <w:r>
              <w:rPr>
                <w:rFonts w:hint="eastAsia" w:ascii="宋体" w:hAnsi="宋体" w:eastAsia="宋体" w:cs="仿宋"/>
                <w:sz w:val="32"/>
                <w:szCs w:val="32"/>
              </w:rPr>
              <w:t>AAA</w:t>
            </w:r>
          </w:p>
        </w:tc>
        <w:tc>
          <w:tcPr>
            <w:tcW w:w="4441" w:type="dxa"/>
            <w:vAlign w:val="center"/>
          </w:tcPr>
          <w:p w14:paraId="044B9997">
            <w:pPr>
              <w:spacing w:line="560" w:lineRule="exact"/>
              <w:jc w:val="center"/>
              <w:rPr>
                <w:rFonts w:ascii="宋体" w:hAnsi="宋体" w:eastAsia="宋体" w:cs="仿宋"/>
                <w:sz w:val="32"/>
                <w:szCs w:val="32"/>
              </w:rPr>
            </w:pPr>
            <w:r>
              <w:rPr>
                <w:rFonts w:hint="eastAsia" w:ascii="宋体" w:hAnsi="宋体" w:eastAsia="宋体" w:cs="仿宋"/>
                <w:sz w:val="32"/>
                <w:szCs w:val="32"/>
              </w:rPr>
              <w:t>100</w:t>
            </w:r>
            <w:r>
              <w:rPr>
                <w:rFonts w:hint="eastAsia" w:ascii="宋体" w:hAnsi="宋体" w:eastAsia="宋体" w:cs="仿宋"/>
                <w:szCs w:val="21"/>
              </w:rPr>
              <w:t>～</w:t>
            </w:r>
            <w:r>
              <w:rPr>
                <w:rFonts w:hint="eastAsia" w:ascii="宋体" w:hAnsi="宋体" w:eastAsia="宋体" w:cs="仿宋"/>
                <w:sz w:val="32"/>
                <w:szCs w:val="32"/>
              </w:rPr>
              <w:t>80（含）</w:t>
            </w:r>
          </w:p>
        </w:tc>
      </w:tr>
      <w:tr w14:paraId="08BA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14:paraId="2EFB2356">
            <w:pPr>
              <w:spacing w:line="560" w:lineRule="exact"/>
              <w:jc w:val="center"/>
              <w:rPr>
                <w:rFonts w:ascii="宋体" w:hAnsi="宋体" w:eastAsia="宋体" w:cs="仿宋"/>
                <w:sz w:val="32"/>
                <w:szCs w:val="32"/>
              </w:rPr>
            </w:pPr>
            <w:r>
              <w:rPr>
                <w:rFonts w:hint="eastAsia" w:ascii="宋体" w:hAnsi="宋体" w:eastAsia="宋体" w:cs="仿宋"/>
                <w:sz w:val="32"/>
                <w:szCs w:val="32"/>
              </w:rPr>
              <w:t>2</w:t>
            </w:r>
          </w:p>
        </w:tc>
        <w:tc>
          <w:tcPr>
            <w:tcW w:w="2122" w:type="dxa"/>
            <w:vAlign w:val="center"/>
          </w:tcPr>
          <w:p w14:paraId="7626DF6B">
            <w:pPr>
              <w:spacing w:line="560" w:lineRule="exact"/>
              <w:jc w:val="center"/>
              <w:rPr>
                <w:rFonts w:ascii="宋体" w:hAnsi="宋体" w:eastAsia="宋体" w:cs="仿宋"/>
                <w:sz w:val="32"/>
                <w:szCs w:val="32"/>
              </w:rPr>
            </w:pPr>
            <w:r>
              <w:rPr>
                <w:rFonts w:hint="eastAsia" w:ascii="宋体" w:hAnsi="宋体" w:eastAsia="宋体" w:cs="仿宋"/>
                <w:sz w:val="32"/>
                <w:szCs w:val="32"/>
              </w:rPr>
              <w:t>AAA</w:t>
            </w:r>
            <w:r>
              <w:rPr>
                <w:rFonts w:hint="eastAsia" w:ascii="宋体" w:hAnsi="宋体" w:eastAsia="宋体" w:cs="仿宋"/>
                <w:b/>
                <w:bCs/>
                <w:sz w:val="32"/>
                <w:szCs w:val="32"/>
                <w:vertAlign w:val="superscript"/>
              </w:rPr>
              <w:t>—</w:t>
            </w:r>
            <w:r>
              <w:rPr>
                <w:rFonts w:hint="eastAsia" w:ascii="宋体" w:hAnsi="宋体" w:eastAsia="宋体" w:cs="仿宋"/>
                <w:sz w:val="32"/>
                <w:szCs w:val="32"/>
              </w:rPr>
              <w:t xml:space="preserve"> </w:t>
            </w:r>
          </w:p>
        </w:tc>
        <w:tc>
          <w:tcPr>
            <w:tcW w:w="4441" w:type="dxa"/>
            <w:vAlign w:val="center"/>
          </w:tcPr>
          <w:p w14:paraId="1D66BFE2">
            <w:pPr>
              <w:spacing w:line="560" w:lineRule="exact"/>
              <w:jc w:val="center"/>
              <w:rPr>
                <w:rFonts w:ascii="宋体" w:hAnsi="宋体" w:eastAsia="宋体" w:cs="仿宋"/>
                <w:sz w:val="32"/>
                <w:szCs w:val="32"/>
              </w:rPr>
            </w:pPr>
            <w:r>
              <w:rPr>
                <w:rFonts w:hint="eastAsia" w:ascii="宋体" w:hAnsi="宋体" w:eastAsia="宋体" w:cs="仿宋"/>
                <w:sz w:val="32"/>
                <w:szCs w:val="32"/>
              </w:rPr>
              <w:t>80（不含）</w:t>
            </w:r>
            <w:r>
              <w:rPr>
                <w:rFonts w:hint="eastAsia" w:ascii="宋体" w:hAnsi="宋体" w:eastAsia="宋体" w:cs="仿宋"/>
                <w:szCs w:val="21"/>
              </w:rPr>
              <w:t>～</w:t>
            </w:r>
            <w:r>
              <w:rPr>
                <w:rFonts w:hint="eastAsia" w:ascii="宋体" w:hAnsi="宋体" w:eastAsia="宋体" w:cs="仿宋"/>
                <w:sz w:val="32"/>
                <w:szCs w:val="32"/>
              </w:rPr>
              <w:t>65（含）</w:t>
            </w:r>
          </w:p>
        </w:tc>
      </w:tr>
      <w:tr w14:paraId="73CD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14:paraId="4E76F759">
            <w:pPr>
              <w:spacing w:line="560" w:lineRule="exact"/>
              <w:jc w:val="center"/>
              <w:rPr>
                <w:rFonts w:ascii="宋体" w:hAnsi="宋体" w:eastAsia="宋体" w:cs="仿宋"/>
                <w:sz w:val="32"/>
                <w:szCs w:val="32"/>
              </w:rPr>
            </w:pPr>
            <w:r>
              <w:rPr>
                <w:rFonts w:hint="eastAsia" w:ascii="宋体" w:hAnsi="宋体" w:eastAsia="宋体" w:cs="仿宋"/>
                <w:sz w:val="32"/>
                <w:szCs w:val="32"/>
              </w:rPr>
              <w:t>3</w:t>
            </w:r>
          </w:p>
        </w:tc>
        <w:tc>
          <w:tcPr>
            <w:tcW w:w="2122" w:type="dxa"/>
            <w:vAlign w:val="center"/>
          </w:tcPr>
          <w:p w14:paraId="1ED84D5D">
            <w:pPr>
              <w:spacing w:line="560" w:lineRule="exact"/>
              <w:jc w:val="center"/>
              <w:rPr>
                <w:rFonts w:ascii="宋体" w:hAnsi="宋体" w:eastAsia="宋体" w:cs="仿宋"/>
                <w:sz w:val="32"/>
                <w:szCs w:val="32"/>
              </w:rPr>
            </w:pPr>
            <w:r>
              <w:rPr>
                <w:rFonts w:hint="eastAsia" w:ascii="宋体" w:hAnsi="宋体" w:eastAsia="宋体" w:cs="仿宋"/>
                <w:sz w:val="32"/>
                <w:szCs w:val="32"/>
              </w:rPr>
              <w:t>AA</w:t>
            </w:r>
          </w:p>
        </w:tc>
        <w:tc>
          <w:tcPr>
            <w:tcW w:w="4441" w:type="dxa"/>
            <w:vAlign w:val="center"/>
          </w:tcPr>
          <w:p w14:paraId="3138A206">
            <w:pPr>
              <w:spacing w:line="560" w:lineRule="exact"/>
              <w:jc w:val="center"/>
              <w:rPr>
                <w:rFonts w:ascii="宋体" w:hAnsi="宋体" w:eastAsia="宋体" w:cs="仿宋"/>
                <w:sz w:val="32"/>
                <w:szCs w:val="32"/>
              </w:rPr>
            </w:pPr>
            <w:r>
              <w:rPr>
                <w:rFonts w:hint="eastAsia" w:ascii="宋体" w:hAnsi="宋体" w:eastAsia="宋体" w:cs="仿宋"/>
                <w:sz w:val="32"/>
                <w:szCs w:val="32"/>
              </w:rPr>
              <w:t>65（不含）</w:t>
            </w:r>
            <w:r>
              <w:rPr>
                <w:rFonts w:hint="eastAsia" w:ascii="宋体" w:hAnsi="宋体" w:eastAsia="宋体" w:cs="仿宋"/>
                <w:szCs w:val="21"/>
              </w:rPr>
              <w:t>～</w:t>
            </w:r>
            <w:r>
              <w:rPr>
                <w:rFonts w:hint="eastAsia" w:ascii="宋体" w:hAnsi="宋体" w:eastAsia="宋体" w:cs="仿宋"/>
                <w:sz w:val="32"/>
                <w:szCs w:val="32"/>
              </w:rPr>
              <w:t>55（含）</w:t>
            </w:r>
          </w:p>
        </w:tc>
      </w:tr>
      <w:tr w14:paraId="0942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14:paraId="316CE4DB">
            <w:pPr>
              <w:spacing w:line="560" w:lineRule="exact"/>
              <w:jc w:val="center"/>
              <w:rPr>
                <w:rFonts w:ascii="宋体" w:hAnsi="宋体" w:eastAsia="宋体" w:cs="仿宋"/>
                <w:sz w:val="32"/>
                <w:szCs w:val="32"/>
              </w:rPr>
            </w:pPr>
            <w:r>
              <w:rPr>
                <w:rFonts w:hint="eastAsia" w:ascii="宋体" w:hAnsi="宋体" w:eastAsia="宋体" w:cs="仿宋"/>
                <w:sz w:val="32"/>
                <w:szCs w:val="32"/>
              </w:rPr>
              <w:t>4</w:t>
            </w:r>
          </w:p>
        </w:tc>
        <w:tc>
          <w:tcPr>
            <w:tcW w:w="2122" w:type="dxa"/>
            <w:vAlign w:val="center"/>
          </w:tcPr>
          <w:p w14:paraId="6A101215">
            <w:pPr>
              <w:spacing w:line="560" w:lineRule="exact"/>
              <w:jc w:val="center"/>
              <w:rPr>
                <w:rFonts w:ascii="宋体" w:hAnsi="宋体" w:eastAsia="宋体" w:cs="仿宋"/>
                <w:sz w:val="32"/>
                <w:szCs w:val="32"/>
              </w:rPr>
            </w:pPr>
            <w:r>
              <w:rPr>
                <w:rFonts w:hint="eastAsia" w:ascii="宋体" w:hAnsi="宋体" w:eastAsia="宋体" w:cs="仿宋"/>
                <w:sz w:val="32"/>
                <w:szCs w:val="32"/>
              </w:rPr>
              <w:t>AA</w:t>
            </w:r>
            <w:r>
              <w:rPr>
                <w:rFonts w:hint="eastAsia" w:ascii="宋体" w:hAnsi="宋体" w:eastAsia="宋体" w:cs="仿宋"/>
                <w:b/>
                <w:sz w:val="32"/>
                <w:szCs w:val="32"/>
                <w:vertAlign w:val="superscript"/>
              </w:rPr>
              <w:t>—</w:t>
            </w:r>
          </w:p>
        </w:tc>
        <w:tc>
          <w:tcPr>
            <w:tcW w:w="4441" w:type="dxa"/>
            <w:vAlign w:val="center"/>
          </w:tcPr>
          <w:p w14:paraId="16D25DDE">
            <w:pPr>
              <w:spacing w:line="560" w:lineRule="exact"/>
              <w:jc w:val="center"/>
              <w:rPr>
                <w:rFonts w:ascii="宋体" w:hAnsi="宋体" w:eastAsia="宋体" w:cs="仿宋"/>
                <w:sz w:val="32"/>
                <w:szCs w:val="32"/>
              </w:rPr>
            </w:pPr>
            <w:r>
              <w:rPr>
                <w:rFonts w:hint="eastAsia" w:ascii="宋体" w:hAnsi="宋体" w:eastAsia="宋体" w:cs="仿宋"/>
                <w:sz w:val="32"/>
                <w:szCs w:val="32"/>
              </w:rPr>
              <w:t>55（不含）</w:t>
            </w:r>
            <w:r>
              <w:rPr>
                <w:rFonts w:hint="eastAsia" w:ascii="宋体" w:hAnsi="宋体" w:eastAsia="宋体" w:cs="仿宋"/>
                <w:szCs w:val="21"/>
              </w:rPr>
              <w:t>～</w:t>
            </w:r>
            <w:r>
              <w:rPr>
                <w:rFonts w:hint="eastAsia" w:ascii="宋体" w:hAnsi="宋体" w:eastAsia="宋体" w:cs="仿宋"/>
                <w:sz w:val="32"/>
                <w:szCs w:val="32"/>
              </w:rPr>
              <w:t>50（含）</w:t>
            </w:r>
          </w:p>
        </w:tc>
      </w:tr>
      <w:tr w14:paraId="5ED6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14:paraId="3142526E">
            <w:pPr>
              <w:spacing w:line="560" w:lineRule="exact"/>
              <w:jc w:val="center"/>
              <w:rPr>
                <w:rFonts w:ascii="宋体" w:hAnsi="宋体" w:eastAsia="宋体" w:cs="仿宋"/>
                <w:sz w:val="32"/>
                <w:szCs w:val="32"/>
              </w:rPr>
            </w:pPr>
            <w:r>
              <w:rPr>
                <w:rFonts w:hint="eastAsia" w:ascii="宋体" w:hAnsi="宋体" w:eastAsia="宋体" w:cs="仿宋"/>
                <w:sz w:val="32"/>
                <w:szCs w:val="32"/>
              </w:rPr>
              <w:t>5</w:t>
            </w:r>
          </w:p>
        </w:tc>
        <w:tc>
          <w:tcPr>
            <w:tcW w:w="2122" w:type="dxa"/>
            <w:vAlign w:val="center"/>
          </w:tcPr>
          <w:p w14:paraId="4D023D94">
            <w:pPr>
              <w:spacing w:line="560" w:lineRule="exact"/>
              <w:jc w:val="center"/>
              <w:rPr>
                <w:rFonts w:ascii="宋体" w:hAnsi="宋体" w:eastAsia="宋体" w:cs="仿宋"/>
                <w:sz w:val="32"/>
                <w:szCs w:val="32"/>
              </w:rPr>
            </w:pPr>
            <w:r>
              <w:rPr>
                <w:rFonts w:hint="eastAsia" w:ascii="宋体" w:hAnsi="宋体" w:eastAsia="宋体" w:cs="仿宋"/>
                <w:sz w:val="32"/>
                <w:szCs w:val="32"/>
              </w:rPr>
              <w:t>A</w:t>
            </w:r>
          </w:p>
        </w:tc>
        <w:tc>
          <w:tcPr>
            <w:tcW w:w="4441" w:type="dxa"/>
            <w:vAlign w:val="center"/>
          </w:tcPr>
          <w:p w14:paraId="0FCD9837">
            <w:pPr>
              <w:spacing w:line="560" w:lineRule="exact"/>
              <w:jc w:val="center"/>
              <w:rPr>
                <w:rFonts w:ascii="宋体" w:hAnsi="宋体" w:eastAsia="宋体" w:cs="仿宋"/>
                <w:sz w:val="32"/>
                <w:szCs w:val="32"/>
              </w:rPr>
            </w:pPr>
            <w:r>
              <w:rPr>
                <w:rFonts w:hint="eastAsia" w:ascii="宋体" w:hAnsi="宋体" w:eastAsia="宋体" w:cs="仿宋"/>
                <w:sz w:val="32"/>
                <w:szCs w:val="32"/>
              </w:rPr>
              <w:t>&lt;50（不含）</w:t>
            </w:r>
          </w:p>
        </w:tc>
      </w:tr>
    </w:tbl>
    <w:p w14:paraId="02442A31">
      <w:pPr>
        <w:pStyle w:val="2"/>
        <w:spacing w:line="560" w:lineRule="exact"/>
        <w:jc w:val="center"/>
        <w:rPr>
          <w:rFonts w:cs="仿宋"/>
          <w:bCs w:val="0"/>
          <w:sz w:val="32"/>
          <w:szCs w:val="32"/>
        </w:rPr>
      </w:pPr>
      <w:r>
        <w:rPr>
          <w:rFonts w:hint="eastAsia" w:cs="仿宋"/>
          <w:bCs w:val="0"/>
          <w:sz w:val="32"/>
          <w:szCs w:val="32"/>
        </w:rPr>
        <w:t>第五章  信用评价要求</w:t>
      </w:r>
    </w:p>
    <w:p w14:paraId="44DA705A">
      <w:pPr>
        <w:spacing w:line="560" w:lineRule="exact"/>
        <w:ind w:firstLine="640"/>
        <w:rPr>
          <w:rFonts w:ascii="宋体" w:hAnsi="宋体" w:eastAsia="宋体" w:cs="仿宋"/>
          <w:sz w:val="32"/>
          <w:szCs w:val="32"/>
        </w:rPr>
      </w:pPr>
      <w:r>
        <w:rPr>
          <w:rFonts w:hint="eastAsia" w:ascii="宋体" w:hAnsi="宋体" w:eastAsia="宋体" w:cs="仿宋"/>
          <w:b/>
          <w:sz w:val="32"/>
          <w:szCs w:val="32"/>
        </w:rPr>
        <w:t xml:space="preserve">第十六条  </w:t>
      </w:r>
      <w:r>
        <w:rPr>
          <w:rFonts w:hint="eastAsia" w:ascii="宋体" w:hAnsi="宋体" w:eastAsia="宋体" w:cs="仿宋"/>
          <w:sz w:val="32"/>
          <w:szCs w:val="32"/>
        </w:rPr>
        <w:t>参评企业应为研究会单位会员，从事工程造价咨询业务1年（含）以上，且有造价咨询业务经营收入。</w:t>
      </w:r>
    </w:p>
    <w:p w14:paraId="1DD7C9A2">
      <w:pPr>
        <w:spacing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第十七条  </w:t>
      </w:r>
      <w:r>
        <w:rPr>
          <w:rFonts w:hint="eastAsia" w:ascii="宋体" w:hAnsi="宋体" w:eastAsia="宋体" w:cs="仿宋"/>
          <w:sz w:val="32"/>
          <w:szCs w:val="32"/>
        </w:rPr>
        <w:t>参评企业应在研究会工程造价咨询企业信用评价系统上，提出申请并建立档案。</w:t>
      </w:r>
    </w:p>
    <w:p w14:paraId="3938CE93">
      <w:pPr>
        <w:spacing w:line="560" w:lineRule="exact"/>
        <w:ind w:firstLine="643" w:firstLineChars="200"/>
        <w:rPr>
          <w:rFonts w:ascii="宋体" w:hAnsi="宋体" w:eastAsia="宋体" w:cs="仿宋"/>
          <w:sz w:val="32"/>
          <w:szCs w:val="32"/>
        </w:rPr>
      </w:pPr>
      <w:r>
        <w:rPr>
          <w:rFonts w:hint="eastAsia" w:ascii="宋体" w:hAnsi="宋体" w:eastAsia="宋体" w:cs="仿宋"/>
          <w:b/>
          <w:sz w:val="32"/>
          <w:szCs w:val="32"/>
        </w:rPr>
        <w:t>第十八条</w:t>
      </w:r>
      <w:r>
        <w:rPr>
          <w:rFonts w:hint="eastAsia" w:ascii="宋体" w:hAnsi="宋体" w:eastAsia="宋体" w:cs="仿宋"/>
          <w:sz w:val="32"/>
          <w:szCs w:val="32"/>
        </w:rPr>
        <w:t xml:space="preserve">  信用评价工作实行动态评价，申请评价的工程造价咨询企业应根据研究会相关工作通知要求时间上报申请，已取得信用等级的工程造价咨询企业可随时更新相关信息。</w:t>
      </w:r>
    </w:p>
    <w:p w14:paraId="63E5F28F">
      <w:pPr>
        <w:spacing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第十九条  </w:t>
      </w:r>
      <w:r>
        <w:rPr>
          <w:rFonts w:hint="eastAsia" w:ascii="宋体" w:hAnsi="宋体" w:eastAsia="宋体" w:cs="仿宋"/>
          <w:sz w:val="32"/>
          <w:szCs w:val="32"/>
        </w:rPr>
        <w:t>工程造价咨询企业申请信用评价，应包含其所属的分支机构，分支机构的良好行为和不良行为纳入其所属法人企业评价。</w:t>
      </w:r>
    </w:p>
    <w:p w14:paraId="0B1AADE4">
      <w:pPr>
        <w:pStyle w:val="2"/>
        <w:spacing w:line="560" w:lineRule="exact"/>
        <w:jc w:val="center"/>
        <w:rPr>
          <w:rFonts w:cs="仿宋"/>
          <w:sz w:val="32"/>
          <w:szCs w:val="32"/>
        </w:rPr>
      </w:pPr>
      <w:r>
        <w:rPr>
          <w:rFonts w:hint="eastAsia" w:cs="仿宋"/>
          <w:sz w:val="32"/>
          <w:szCs w:val="32"/>
        </w:rPr>
        <w:t>第六章  信用评价程序</w:t>
      </w:r>
    </w:p>
    <w:p w14:paraId="5F5B9D47">
      <w:pPr>
        <w:pStyle w:val="7"/>
        <w:widowControl/>
        <w:shd w:val="clear" w:color="auto" w:fill="FFFFFF"/>
        <w:spacing w:before="0" w:beforeAutospacing="0" w:after="0" w:afterAutospacing="0" w:line="560" w:lineRule="exact"/>
        <w:ind w:left="105" w:leftChars="50" w:firstLine="482" w:firstLineChars="150"/>
        <w:rPr>
          <w:rFonts w:ascii="宋体" w:hAnsi="宋体" w:eastAsia="宋体" w:cs="仿宋"/>
          <w:b/>
          <w:sz w:val="32"/>
          <w:szCs w:val="32"/>
        </w:rPr>
      </w:pPr>
      <w:r>
        <w:rPr>
          <w:rFonts w:hint="eastAsia" w:ascii="宋体" w:hAnsi="宋体" w:eastAsia="宋体" w:cs="仿宋"/>
          <w:b/>
          <w:sz w:val="32"/>
          <w:szCs w:val="32"/>
        </w:rPr>
        <w:t xml:space="preserve">第二十条  </w:t>
      </w:r>
      <w:r>
        <w:rPr>
          <w:rFonts w:hint="eastAsia" w:ascii="宋体" w:hAnsi="宋体" w:eastAsia="宋体" w:cs="仿宋"/>
          <w:sz w:val="32"/>
          <w:szCs w:val="32"/>
        </w:rPr>
        <w:t>信用评价工作分为企业申报、专家评审、公示、公告四个阶段。</w:t>
      </w:r>
    </w:p>
    <w:p w14:paraId="1463A624">
      <w:pPr>
        <w:spacing w:line="560" w:lineRule="exact"/>
        <w:ind w:firstLine="643"/>
        <w:rPr>
          <w:rFonts w:ascii="宋体" w:hAnsi="宋体" w:eastAsia="宋体" w:cs="仿宋"/>
          <w:sz w:val="32"/>
          <w:szCs w:val="32"/>
        </w:rPr>
      </w:pPr>
      <w:r>
        <w:rPr>
          <w:rFonts w:hint="eastAsia" w:ascii="宋体" w:hAnsi="宋体" w:eastAsia="宋体" w:cs="仿宋"/>
          <w:b/>
          <w:sz w:val="32"/>
          <w:szCs w:val="32"/>
        </w:rPr>
        <w:t>第二十一条</w:t>
      </w:r>
      <w:r>
        <w:rPr>
          <w:rFonts w:hint="eastAsia" w:ascii="宋体" w:hAnsi="宋体" w:eastAsia="宋体" w:cs="仿宋"/>
          <w:sz w:val="32"/>
          <w:szCs w:val="32"/>
        </w:rPr>
        <w:t xml:space="preserve">  企业申报。企业自愿申请信用评价，申请信用评价的企业登录研究会会员服务系统，进入信用评价系统，基本信息自动从研究会会员服务系统获取，不能获取或指标不完整、不准确的，由企业根据实际情况在系统中自行填报，并准备相应的基础资料备查。</w:t>
      </w:r>
    </w:p>
    <w:p w14:paraId="736F339C">
      <w:pPr>
        <w:spacing w:line="560" w:lineRule="exact"/>
        <w:ind w:firstLine="643"/>
        <w:rPr>
          <w:rFonts w:ascii="宋体" w:hAnsi="宋体" w:eastAsia="宋体" w:cs="仿宋"/>
          <w:sz w:val="32"/>
          <w:szCs w:val="32"/>
        </w:rPr>
      </w:pPr>
      <w:r>
        <w:rPr>
          <w:rFonts w:hint="eastAsia" w:ascii="宋体" w:hAnsi="宋体" w:eastAsia="宋体" w:cs="仿宋"/>
          <w:sz w:val="32"/>
          <w:szCs w:val="32"/>
        </w:rPr>
        <w:t xml:space="preserve">企业所填报的信息及提供的资料应真实、合法、有效 。                                                                         </w:t>
      </w:r>
    </w:p>
    <w:p w14:paraId="06CDBD9A">
      <w:pPr>
        <w:spacing w:line="560" w:lineRule="exact"/>
        <w:ind w:firstLine="643"/>
        <w:rPr>
          <w:rFonts w:ascii="宋体" w:hAnsi="宋体" w:eastAsia="宋体" w:cs="仿宋"/>
          <w:sz w:val="32"/>
          <w:szCs w:val="32"/>
        </w:rPr>
      </w:pPr>
      <w:r>
        <w:rPr>
          <w:rFonts w:hint="eastAsia" w:ascii="宋体" w:hAnsi="宋体" w:eastAsia="宋体" w:cs="仿宋"/>
          <w:b/>
          <w:sz w:val="32"/>
          <w:szCs w:val="32"/>
        </w:rPr>
        <w:t>第二十二条</w:t>
      </w:r>
      <w:r>
        <w:rPr>
          <w:rFonts w:hint="eastAsia" w:ascii="宋体" w:hAnsi="宋体" w:eastAsia="宋体" w:cs="仿宋"/>
          <w:sz w:val="32"/>
          <w:szCs w:val="32"/>
        </w:rPr>
        <w:t xml:space="preserve">  专家评审。信用评价专家组根据评审资料、评分标准在评价系统进行评审。</w:t>
      </w:r>
    </w:p>
    <w:p w14:paraId="28612623">
      <w:pPr>
        <w:spacing w:line="560" w:lineRule="exact"/>
        <w:ind w:firstLine="640"/>
        <w:rPr>
          <w:rFonts w:ascii="宋体" w:hAnsi="宋体" w:eastAsia="宋体" w:cs="仿宋"/>
          <w:sz w:val="32"/>
          <w:szCs w:val="32"/>
        </w:rPr>
      </w:pPr>
      <w:r>
        <w:rPr>
          <w:rFonts w:hint="eastAsia" w:ascii="宋体" w:hAnsi="宋体" w:eastAsia="宋体" w:cs="仿宋"/>
          <w:sz w:val="32"/>
          <w:szCs w:val="32"/>
        </w:rPr>
        <w:t>信用评价专家组认为需要到参评企业现场核实的评价内容，应成立不少于3人组成的工作小组，到现场进行核实，根据实际核实情况进行评分，企业应予配合。</w:t>
      </w:r>
    </w:p>
    <w:p w14:paraId="703BE0D2">
      <w:pPr>
        <w:pStyle w:val="7"/>
        <w:widowControl/>
        <w:shd w:val="clear" w:color="auto" w:fill="FFFFFF"/>
        <w:spacing w:before="0" w:beforeAutospacing="0" w:after="0" w:afterAutospacing="0" w:line="560" w:lineRule="exact"/>
        <w:ind w:left="105" w:leftChars="50" w:firstLine="643" w:firstLineChars="200"/>
        <w:rPr>
          <w:rFonts w:ascii="宋体" w:hAnsi="宋体" w:eastAsia="宋体" w:cs="仿宋"/>
          <w:kern w:val="2"/>
          <w:sz w:val="32"/>
          <w:szCs w:val="32"/>
        </w:rPr>
      </w:pPr>
      <w:r>
        <w:rPr>
          <w:rFonts w:hint="eastAsia" w:ascii="宋体" w:hAnsi="宋体" w:eastAsia="宋体" w:cs="仿宋"/>
          <w:b/>
          <w:sz w:val="32"/>
          <w:szCs w:val="32"/>
        </w:rPr>
        <w:t>第二十三条</w:t>
      </w:r>
      <w:r>
        <w:rPr>
          <w:rFonts w:hint="eastAsia" w:ascii="宋体" w:hAnsi="宋体" w:eastAsia="宋体" w:cs="仿宋"/>
          <w:sz w:val="32"/>
          <w:szCs w:val="32"/>
        </w:rPr>
        <w:t xml:space="preserve">  </w:t>
      </w:r>
      <w:r>
        <w:rPr>
          <w:rFonts w:hint="eastAsia" w:ascii="宋体" w:hAnsi="宋体" w:eastAsia="宋体" w:cs="仿宋"/>
          <w:kern w:val="2"/>
          <w:sz w:val="32"/>
          <w:szCs w:val="32"/>
        </w:rPr>
        <w:t>公示。根据</w:t>
      </w:r>
      <w:r>
        <w:rPr>
          <w:rFonts w:hint="eastAsia" w:ascii="宋体" w:hAnsi="宋体" w:eastAsia="宋体" w:cs="仿宋"/>
          <w:sz w:val="32"/>
          <w:szCs w:val="32"/>
        </w:rPr>
        <w:t>管理办法和专家评审结果，确定参评企业信用等级</w:t>
      </w:r>
      <w:r>
        <w:rPr>
          <w:rFonts w:hint="eastAsia" w:ascii="宋体" w:hAnsi="宋体" w:eastAsia="宋体" w:cs="仿宋"/>
          <w:kern w:val="2"/>
          <w:sz w:val="32"/>
          <w:szCs w:val="32"/>
        </w:rPr>
        <w:t>。经研究会网站、公众号向社会公示，公示期为5个工作日。</w:t>
      </w:r>
    </w:p>
    <w:p w14:paraId="6EC2DECA">
      <w:pPr>
        <w:pStyle w:val="7"/>
        <w:widowControl/>
        <w:shd w:val="clear" w:color="auto" w:fill="FFFFFF"/>
        <w:spacing w:before="0" w:beforeAutospacing="0" w:after="0" w:afterAutospacing="0" w:line="560" w:lineRule="exact"/>
        <w:ind w:left="105" w:leftChars="50" w:firstLine="480" w:firstLineChars="150"/>
        <w:rPr>
          <w:rFonts w:ascii="宋体" w:hAnsi="宋体" w:eastAsia="宋体" w:cs="仿宋"/>
          <w:kern w:val="2"/>
          <w:sz w:val="32"/>
          <w:szCs w:val="32"/>
        </w:rPr>
      </w:pPr>
      <w:r>
        <w:rPr>
          <w:rFonts w:hint="eastAsia" w:ascii="宋体" w:hAnsi="宋体" w:eastAsia="宋体" w:cs="仿宋"/>
          <w:kern w:val="2"/>
          <w:sz w:val="32"/>
          <w:szCs w:val="32"/>
        </w:rPr>
        <w:t>对信用评价结果有异议的，应当在公示期满前，向研究会实名提出复核审请</w:t>
      </w:r>
      <w:r>
        <w:rPr>
          <w:rFonts w:hint="eastAsia" w:ascii="宋体" w:hAnsi="宋体" w:eastAsia="宋体" w:cs="仿宋"/>
          <w:sz w:val="32"/>
          <w:szCs w:val="32"/>
        </w:rPr>
        <w:t>，并提供书面证明材料</w:t>
      </w:r>
      <w:r>
        <w:rPr>
          <w:rFonts w:hint="eastAsia" w:ascii="宋体" w:hAnsi="宋体" w:eastAsia="宋体" w:cs="仿宋"/>
          <w:kern w:val="2"/>
          <w:sz w:val="32"/>
          <w:szCs w:val="32"/>
        </w:rPr>
        <w:t>。申诉组将组织不少于3人的专家对提出的异议进行复核，将复核意见告知申请复核的企业并报研究会。无异议的，即确定信用等级，向社会公布信用评价结果的公告通知。</w:t>
      </w:r>
    </w:p>
    <w:p w14:paraId="26553D0B">
      <w:pPr>
        <w:pStyle w:val="7"/>
        <w:widowControl/>
        <w:shd w:val="clear" w:color="auto" w:fill="FFFFFF"/>
        <w:spacing w:before="0" w:beforeAutospacing="0" w:after="0" w:afterAutospacing="0" w:line="560" w:lineRule="exact"/>
        <w:ind w:left="105" w:leftChars="50" w:firstLine="643" w:firstLineChars="200"/>
        <w:rPr>
          <w:rFonts w:ascii="宋体" w:hAnsi="宋体" w:eastAsia="宋体" w:cs="仿宋"/>
          <w:kern w:val="2"/>
          <w:sz w:val="32"/>
          <w:szCs w:val="32"/>
        </w:rPr>
      </w:pPr>
      <w:r>
        <w:rPr>
          <w:rFonts w:hint="eastAsia" w:ascii="宋体" w:hAnsi="宋体" w:eastAsia="宋体" w:cs="仿宋"/>
          <w:b/>
          <w:sz w:val="32"/>
          <w:szCs w:val="32"/>
        </w:rPr>
        <w:t>第二十四条</w:t>
      </w:r>
      <w:r>
        <w:rPr>
          <w:rFonts w:hint="eastAsia" w:ascii="宋体" w:hAnsi="宋体" w:eastAsia="宋体" w:cs="仿宋"/>
          <w:kern w:val="2"/>
          <w:sz w:val="32"/>
          <w:szCs w:val="32"/>
        </w:rPr>
        <w:t xml:space="preserve">  公告。研究会公布最终评价结果。对经公示无异议的企业信用等级向社会发布。</w:t>
      </w:r>
    </w:p>
    <w:p w14:paraId="3252E711">
      <w:pPr>
        <w:pStyle w:val="2"/>
        <w:spacing w:line="560" w:lineRule="exact"/>
        <w:jc w:val="center"/>
        <w:rPr>
          <w:rFonts w:cs="仿宋"/>
          <w:sz w:val="32"/>
          <w:szCs w:val="32"/>
        </w:rPr>
      </w:pPr>
      <w:r>
        <w:rPr>
          <w:rFonts w:hint="eastAsia" w:cs="仿宋"/>
          <w:sz w:val="32"/>
          <w:szCs w:val="32"/>
        </w:rPr>
        <w:t>第七章  信用等级管理</w:t>
      </w:r>
    </w:p>
    <w:p w14:paraId="2FE7DA26">
      <w:pPr>
        <w:pStyle w:val="7"/>
        <w:widowControl/>
        <w:shd w:val="clear" w:color="auto" w:fill="FFFFFF"/>
        <w:spacing w:before="0" w:beforeAutospacing="0" w:after="0" w:afterAutospacing="0" w:line="560" w:lineRule="exact"/>
        <w:ind w:left="105" w:leftChars="50" w:firstLine="643" w:firstLineChars="200"/>
        <w:rPr>
          <w:rFonts w:ascii="宋体" w:hAnsi="宋体" w:eastAsia="宋体" w:cs="仿宋"/>
          <w:sz w:val="32"/>
          <w:szCs w:val="32"/>
        </w:rPr>
      </w:pPr>
      <w:r>
        <w:rPr>
          <w:rFonts w:hint="eastAsia" w:ascii="宋体" w:hAnsi="宋体" w:eastAsia="宋体" w:cs="仿宋"/>
          <w:b/>
          <w:sz w:val="32"/>
          <w:szCs w:val="32"/>
        </w:rPr>
        <w:t xml:space="preserve">第二十五条  </w:t>
      </w:r>
      <w:r>
        <w:rPr>
          <w:rFonts w:hint="eastAsia" w:ascii="宋体" w:hAnsi="宋体" w:eastAsia="宋体" w:cs="仿宋"/>
          <w:sz w:val="32"/>
          <w:szCs w:val="32"/>
        </w:rPr>
        <w:t>工程造价咨询企业信用等级实行动态评价，动态管理，每评定周期末研究会向社会发布的信用等级记入历史信用记录。</w:t>
      </w:r>
    </w:p>
    <w:p w14:paraId="4289D8FC">
      <w:pPr>
        <w:pStyle w:val="7"/>
        <w:widowControl/>
        <w:shd w:val="clear" w:color="auto" w:fill="FFFFFF"/>
        <w:spacing w:before="0" w:beforeAutospacing="0" w:after="0" w:afterAutospacing="0" w:line="560" w:lineRule="exact"/>
        <w:rPr>
          <w:rFonts w:ascii="宋体" w:hAnsi="宋体" w:eastAsia="宋体" w:cs="仿宋"/>
          <w:sz w:val="32"/>
          <w:szCs w:val="32"/>
        </w:rPr>
      </w:pPr>
      <w:r>
        <w:rPr>
          <w:rFonts w:hint="eastAsia" w:ascii="宋体" w:hAnsi="宋体" w:eastAsia="宋体" w:cs="仿宋"/>
          <w:b/>
          <w:sz w:val="32"/>
          <w:szCs w:val="32"/>
        </w:rPr>
        <w:t xml:space="preserve">    第二十六条  </w:t>
      </w:r>
      <w:r>
        <w:rPr>
          <w:rFonts w:hint="eastAsia" w:ascii="宋体" w:hAnsi="宋体" w:eastAsia="宋体" w:cs="仿宋"/>
          <w:sz w:val="32"/>
          <w:szCs w:val="32"/>
        </w:rPr>
        <w:t>研究会应结合行业自律、质量检查等制度加强监督检查，强化对工程造价咨询企业的动态管理，及时查处不良行为，进行行业惩戒，并及时归集企业不良行为信息，录入信用评价系统，调整信用评价分值及相应信用等级。</w:t>
      </w:r>
    </w:p>
    <w:p w14:paraId="53CDEB6F">
      <w:pPr>
        <w:pStyle w:val="7"/>
        <w:widowControl/>
        <w:shd w:val="clear" w:color="auto" w:fill="FFFFFF"/>
        <w:spacing w:before="0" w:beforeAutospacing="0" w:after="0" w:afterAutospacing="0"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第二十七条  </w:t>
      </w:r>
      <w:r>
        <w:rPr>
          <w:rFonts w:hint="eastAsia" w:ascii="宋体" w:hAnsi="宋体" w:eastAsia="宋体" w:cs="仿宋"/>
          <w:sz w:val="32"/>
          <w:szCs w:val="32"/>
        </w:rPr>
        <w:t>已取得信用等级的工程造价咨询企业如发生企业名称、企业地址、联系人等信息变更应及时更新信用评价系统内信息；企业发生分立、合并且统一社会信用代码变更的，应重新申请信用评价。</w:t>
      </w:r>
    </w:p>
    <w:p w14:paraId="12E8D449">
      <w:pPr>
        <w:pStyle w:val="7"/>
        <w:widowControl/>
        <w:shd w:val="clear" w:color="auto" w:fill="FFFFFF"/>
        <w:spacing w:before="0" w:beforeAutospacing="0" w:after="0" w:afterAutospacing="0"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第二十八条  </w:t>
      </w:r>
      <w:r>
        <w:rPr>
          <w:rFonts w:hint="eastAsia" w:ascii="宋体" w:hAnsi="宋体" w:eastAsia="宋体" w:cs="仿宋"/>
          <w:sz w:val="32"/>
          <w:szCs w:val="32"/>
        </w:rPr>
        <w:t>取得信用等级的工程造价咨询企业，发生严重不良行为的，研究会应给予降低信用等级处理。本条所指严重不良行为包括：</w:t>
      </w:r>
    </w:p>
    <w:p w14:paraId="02D6E3F5">
      <w:pPr>
        <w:pStyle w:val="7"/>
        <w:widowControl/>
        <w:shd w:val="clear" w:color="auto" w:fill="FFFFFF"/>
        <w:spacing w:before="0" w:beforeAutospacing="0" w:after="0" w:afterAutospacing="0" w:line="560" w:lineRule="exact"/>
        <w:ind w:left="105" w:leftChars="50" w:firstLine="480" w:firstLineChars="150"/>
        <w:rPr>
          <w:rFonts w:ascii="宋体" w:hAnsi="宋体" w:eastAsia="宋体" w:cs="仿宋"/>
          <w:sz w:val="32"/>
          <w:szCs w:val="32"/>
        </w:rPr>
      </w:pPr>
      <w:r>
        <w:rPr>
          <w:rFonts w:hint="eastAsia" w:ascii="宋体" w:hAnsi="宋体" w:eastAsia="宋体" w:cs="仿宋"/>
          <w:sz w:val="32"/>
          <w:szCs w:val="32"/>
        </w:rPr>
        <w:t>（一）企业法定代表人、技术负责人因本企业职务行为受到刑事处罚或严重的行政处罚；</w:t>
      </w:r>
    </w:p>
    <w:p w14:paraId="6020F2E7">
      <w:pPr>
        <w:pStyle w:val="7"/>
        <w:widowControl/>
        <w:shd w:val="clear" w:color="auto" w:fill="FFFFFF"/>
        <w:spacing w:before="0" w:beforeAutospacing="0" w:after="0" w:afterAutospacing="0" w:line="560" w:lineRule="exact"/>
        <w:ind w:left="105" w:leftChars="50" w:firstLine="480" w:firstLineChars="150"/>
        <w:rPr>
          <w:rFonts w:ascii="宋体" w:hAnsi="宋体" w:eastAsia="宋体" w:cs="仿宋"/>
          <w:sz w:val="32"/>
          <w:szCs w:val="32"/>
        </w:rPr>
      </w:pPr>
      <w:r>
        <w:rPr>
          <w:rFonts w:hint="eastAsia" w:ascii="宋体" w:hAnsi="宋体" w:eastAsia="宋体" w:cs="仿宋"/>
          <w:sz w:val="32"/>
          <w:szCs w:val="32"/>
        </w:rPr>
        <w:t>（二）企业或企业法定代表人、技术负责人受到行业协会公开谴责惩戒；</w:t>
      </w:r>
    </w:p>
    <w:p w14:paraId="6F82CBBE">
      <w:pPr>
        <w:pStyle w:val="7"/>
        <w:widowControl/>
        <w:shd w:val="clear" w:color="auto" w:fill="FFFFFF"/>
        <w:spacing w:before="0" w:beforeAutospacing="0" w:after="0" w:afterAutospacing="0" w:line="560" w:lineRule="exact"/>
        <w:ind w:left="105" w:leftChars="50" w:firstLine="480" w:firstLineChars="150"/>
        <w:rPr>
          <w:rFonts w:ascii="宋体" w:hAnsi="宋体" w:eastAsia="宋体" w:cs="仿宋"/>
          <w:sz w:val="32"/>
          <w:szCs w:val="32"/>
        </w:rPr>
      </w:pPr>
      <w:r>
        <w:rPr>
          <w:rFonts w:hint="eastAsia" w:ascii="宋体" w:hAnsi="宋体" w:eastAsia="宋体" w:cs="仿宋"/>
          <w:sz w:val="32"/>
          <w:szCs w:val="32"/>
        </w:rPr>
        <w:t>（三）企业以其它企业名义或同意其它企业以自身名义进行投标或承接造价咨询业务；</w:t>
      </w:r>
    </w:p>
    <w:p w14:paraId="2874EA0E">
      <w:pPr>
        <w:pStyle w:val="7"/>
        <w:widowControl/>
        <w:shd w:val="clear" w:color="auto" w:fill="FFFFFF"/>
        <w:spacing w:before="0" w:beforeAutospacing="0" w:after="0" w:afterAutospacing="0" w:line="560" w:lineRule="exact"/>
        <w:ind w:left="105" w:leftChars="50" w:firstLine="480" w:firstLineChars="150"/>
        <w:rPr>
          <w:rFonts w:ascii="宋体" w:hAnsi="宋体" w:eastAsia="宋体" w:cs="仿宋"/>
          <w:sz w:val="32"/>
          <w:szCs w:val="32"/>
        </w:rPr>
      </w:pPr>
      <w:r>
        <w:rPr>
          <w:rFonts w:hint="eastAsia" w:ascii="宋体" w:hAnsi="宋体" w:eastAsia="宋体" w:cs="仿宋"/>
          <w:sz w:val="32"/>
          <w:szCs w:val="32"/>
        </w:rPr>
        <w:t>（四）企业提供虚假评价材料或拒绝接受造价行业管理机构及行业协会监督检查，情节严重，经查属实；</w:t>
      </w:r>
    </w:p>
    <w:p w14:paraId="1B586798">
      <w:pPr>
        <w:pStyle w:val="7"/>
        <w:widowControl/>
        <w:shd w:val="clear" w:color="auto" w:fill="FFFFFF"/>
        <w:spacing w:before="0" w:beforeAutospacing="0" w:after="0" w:afterAutospacing="0" w:line="560" w:lineRule="exact"/>
        <w:ind w:left="105" w:leftChars="50" w:firstLine="480" w:firstLineChars="150"/>
        <w:rPr>
          <w:rFonts w:ascii="宋体" w:hAnsi="宋体" w:eastAsia="宋体" w:cs="仿宋"/>
          <w:sz w:val="32"/>
          <w:szCs w:val="32"/>
        </w:rPr>
      </w:pPr>
      <w:r>
        <w:rPr>
          <w:rFonts w:hint="eastAsia" w:ascii="宋体" w:hAnsi="宋体" w:eastAsia="宋体" w:cs="仿宋"/>
          <w:sz w:val="32"/>
          <w:szCs w:val="32"/>
        </w:rPr>
        <w:t>（五）有法律、法规、规章及行业规定的其他严重违法、违规行为。</w:t>
      </w:r>
    </w:p>
    <w:p w14:paraId="4E5350FE">
      <w:pPr>
        <w:pStyle w:val="7"/>
        <w:widowControl/>
        <w:shd w:val="clear" w:color="auto" w:fill="FFFFFF"/>
        <w:spacing w:before="0" w:beforeAutospacing="0" w:after="0" w:afterAutospacing="0" w:line="560" w:lineRule="exact"/>
        <w:ind w:firstLine="643" w:firstLineChars="200"/>
        <w:rPr>
          <w:rFonts w:ascii="宋体" w:hAnsi="宋体" w:eastAsia="宋体" w:cs="仿宋"/>
          <w:sz w:val="32"/>
          <w:szCs w:val="32"/>
        </w:rPr>
      </w:pPr>
      <w:r>
        <w:rPr>
          <w:rFonts w:hint="eastAsia" w:ascii="宋体" w:hAnsi="宋体" w:eastAsia="宋体" w:cs="仿宋"/>
          <w:b/>
          <w:sz w:val="32"/>
          <w:szCs w:val="32"/>
        </w:rPr>
        <w:t>第二十九条</w:t>
      </w:r>
      <w:r>
        <w:rPr>
          <w:rFonts w:hint="eastAsia" w:ascii="宋体" w:hAnsi="宋体" w:eastAsia="宋体" w:cs="仿宋"/>
          <w:sz w:val="32"/>
          <w:szCs w:val="32"/>
        </w:rPr>
        <w:t xml:space="preserve">  被降低信用等级的企业由研究会在信用评价系统中进行及时调整，并在自办刊物、网站、微信公众号等予以公布。</w:t>
      </w:r>
    </w:p>
    <w:p w14:paraId="3DF91BDE">
      <w:pPr>
        <w:pStyle w:val="7"/>
        <w:widowControl/>
        <w:shd w:val="clear" w:color="auto" w:fill="FFFFFF"/>
        <w:spacing w:before="0" w:beforeAutospacing="0" w:after="0" w:afterAutospacing="0"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第三十条  </w:t>
      </w:r>
      <w:r>
        <w:rPr>
          <w:rFonts w:hint="eastAsia" w:ascii="宋体" w:hAnsi="宋体" w:eastAsia="宋体" w:cs="仿宋"/>
          <w:sz w:val="32"/>
          <w:szCs w:val="32"/>
        </w:rPr>
        <w:t>研究会鼓励企业通过整改，主动纠正失信行为、消除不良影响，实现信用修复。</w:t>
      </w:r>
    </w:p>
    <w:p w14:paraId="022F0C07">
      <w:pPr>
        <w:pStyle w:val="7"/>
        <w:widowControl/>
        <w:shd w:val="clear" w:color="auto" w:fill="FFFFFF"/>
        <w:spacing w:before="0" w:beforeAutospacing="0" w:after="0" w:afterAutospacing="0" w:line="560" w:lineRule="exact"/>
        <w:ind w:firstLine="640" w:firstLineChars="200"/>
        <w:rPr>
          <w:rFonts w:ascii="宋体" w:hAnsi="宋体" w:eastAsia="宋体" w:cs="仿宋"/>
          <w:sz w:val="32"/>
          <w:szCs w:val="32"/>
        </w:rPr>
      </w:pPr>
      <w:r>
        <w:rPr>
          <w:rFonts w:hint="eastAsia" w:ascii="宋体" w:hAnsi="宋体" w:eastAsia="宋体" w:cs="仿宋"/>
          <w:sz w:val="32"/>
          <w:szCs w:val="32"/>
        </w:rPr>
        <w:t>信用修复是指信用主体为积极改善自身信用状况，在整改纠正失信行为、消除不良影响后，向认定失信信息的单位或归集失信信息的信用平台、网站的运行机构提出申请，由认定单位或归集机构按照有关规定，将信用主体移出失信主体名单，终止失信信息公示，以及标注、屏蔽或删除失信信息等行为。</w:t>
      </w:r>
    </w:p>
    <w:p w14:paraId="4F173FD0">
      <w:pPr>
        <w:pStyle w:val="7"/>
        <w:widowControl/>
        <w:shd w:val="clear" w:color="auto" w:fill="FFFFFF"/>
        <w:spacing w:before="0" w:beforeAutospacing="0" w:after="0" w:afterAutospacing="0" w:line="560" w:lineRule="exact"/>
        <w:ind w:firstLine="640" w:firstLineChars="200"/>
        <w:rPr>
          <w:rFonts w:ascii="宋体" w:hAnsi="宋体" w:eastAsia="宋体" w:cs="仿宋"/>
          <w:sz w:val="32"/>
          <w:szCs w:val="32"/>
        </w:rPr>
      </w:pPr>
      <w:r>
        <w:rPr>
          <w:rFonts w:hint="eastAsia" w:ascii="宋体" w:hAnsi="宋体" w:eastAsia="宋体" w:cs="仿宋"/>
          <w:sz w:val="32"/>
          <w:szCs w:val="32"/>
        </w:rPr>
        <w:t>企业信用修复后在系统内上传已修复的证明材料，研究会将恢复其相应分值和等级。</w:t>
      </w:r>
    </w:p>
    <w:p w14:paraId="4440883D">
      <w:pPr>
        <w:pStyle w:val="7"/>
        <w:widowControl/>
        <w:shd w:val="clear" w:color="auto" w:fill="FFFFFF"/>
        <w:spacing w:before="0" w:beforeAutospacing="0" w:after="0" w:afterAutospacing="0"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第三十一条  </w:t>
      </w:r>
      <w:r>
        <w:rPr>
          <w:rFonts w:hint="eastAsia" w:ascii="宋体" w:hAnsi="宋体" w:eastAsia="宋体" w:cs="仿宋"/>
          <w:sz w:val="32"/>
          <w:szCs w:val="32"/>
        </w:rPr>
        <w:t>工程造价咨询企业信用评价等级证书有效期为三年，信用等级证书期满前，企业可根据研究会当年信用评价工作安排，自愿重新申请信用评价。</w:t>
      </w:r>
    </w:p>
    <w:p w14:paraId="7D421919">
      <w:pPr>
        <w:pStyle w:val="2"/>
        <w:spacing w:line="560" w:lineRule="exact"/>
        <w:jc w:val="center"/>
        <w:rPr>
          <w:rFonts w:cs="仿宋"/>
          <w:sz w:val="32"/>
          <w:szCs w:val="32"/>
        </w:rPr>
      </w:pPr>
      <w:r>
        <w:rPr>
          <w:rFonts w:hint="eastAsia" w:cs="仿宋"/>
          <w:sz w:val="32"/>
          <w:szCs w:val="32"/>
        </w:rPr>
        <w:t>第八章  信用等级应用</w:t>
      </w:r>
    </w:p>
    <w:p w14:paraId="0EC238B5">
      <w:pPr>
        <w:spacing w:line="560" w:lineRule="exact"/>
        <w:ind w:firstLine="643" w:firstLineChars="200"/>
        <w:rPr>
          <w:rFonts w:ascii="宋体" w:hAnsi="宋体" w:eastAsia="宋体" w:cs="仿宋"/>
          <w:kern w:val="0"/>
          <w:sz w:val="32"/>
          <w:szCs w:val="32"/>
        </w:rPr>
      </w:pPr>
      <w:r>
        <w:rPr>
          <w:rFonts w:hint="eastAsia" w:ascii="宋体" w:hAnsi="宋体" w:eastAsia="宋体" w:cs="仿宋"/>
          <w:b/>
          <w:kern w:val="0"/>
          <w:sz w:val="32"/>
          <w:szCs w:val="32"/>
        </w:rPr>
        <w:t>第三十二条</w:t>
      </w:r>
      <w:r>
        <w:rPr>
          <w:rFonts w:hint="eastAsia" w:ascii="宋体" w:hAnsi="宋体" w:eastAsia="宋体" w:cs="仿宋"/>
          <w:b/>
          <w:sz w:val="32"/>
          <w:szCs w:val="32"/>
        </w:rPr>
        <w:t xml:space="preserve">  </w:t>
      </w:r>
      <w:r>
        <w:rPr>
          <w:rFonts w:hint="eastAsia" w:ascii="宋体" w:hAnsi="宋体" w:eastAsia="宋体" w:cs="仿宋"/>
          <w:kern w:val="0"/>
          <w:sz w:val="32"/>
          <w:szCs w:val="32"/>
        </w:rPr>
        <w:t>信用评价结果向社会公开，提供实时查询，接受社会监督，往期信用等级也可在信用评价系统公开查询。</w:t>
      </w:r>
    </w:p>
    <w:p w14:paraId="7DEDA272">
      <w:pPr>
        <w:spacing w:line="560" w:lineRule="exact"/>
        <w:ind w:firstLine="643"/>
        <w:rPr>
          <w:rFonts w:ascii="宋体" w:hAnsi="宋体" w:eastAsia="宋体" w:cs="仿宋"/>
          <w:bCs/>
          <w:sz w:val="32"/>
          <w:szCs w:val="32"/>
        </w:rPr>
      </w:pPr>
      <w:r>
        <w:rPr>
          <w:rFonts w:hint="eastAsia" w:ascii="宋体" w:hAnsi="宋体" w:eastAsia="宋体" w:cs="仿宋"/>
          <w:b/>
          <w:sz w:val="32"/>
          <w:szCs w:val="32"/>
        </w:rPr>
        <w:t>第三十</w:t>
      </w:r>
      <w:r>
        <w:rPr>
          <w:rFonts w:hint="eastAsia" w:ascii="宋体" w:hAnsi="宋体" w:eastAsia="宋体" w:cs="仿宋"/>
          <w:b/>
          <w:kern w:val="0"/>
          <w:sz w:val="32"/>
          <w:szCs w:val="32"/>
        </w:rPr>
        <w:t>三</w:t>
      </w:r>
      <w:r>
        <w:rPr>
          <w:rFonts w:hint="eastAsia" w:ascii="宋体" w:hAnsi="宋体" w:eastAsia="宋体" w:cs="仿宋"/>
          <w:b/>
          <w:sz w:val="32"/>
          <w:szCs w:val="32"/>
        </w:rPr>
        <w:t xml:space="preserve">条  </w:t>
      </w:r>
      <w:r>
        <w:rPr>
          <w:rFonts w:hint="eastAsia" w:ascii="宋体" w:hAnsi="宋体" w:eastAsia="宋体" w:cs="仿宋"/>
          <w:sz w:val="32"/>
          <w:szCs w:val="32"/>
        </w:rPr>
        <w:t>企业可登录评价系统打印信用证明，扫描证书二维码，查询证书有效性。</w:t>
      </w:r>
    </w:p>
    <w:p w14:paraId="19E03ACB">
      <w:pPr>
        <w:spacing w:line="560" w:lineRule="exact"/>
        <w:ind w:firstLine="640"/>
        <w:rPr>
          <w:rFonts w:ascii="宋体" w:hAnsi="宋体" w:eastAsia="宋体" w:cs="仿宋"/>
          <w:bCs/>
          <w:sz w:val="32"/>
          <w:szCs w:val="32"/>
        </w:rPr>
      </w:pPr>
      <w:r>
        <w:rPr>
          <w:rFonts w:hint="eastAsia" w:ascii="宋体" w:hAnsi="宋体" w:eastAsia="宋体" w:cs="仿宋"/>
          <w:sz w:val="32"/>
          <w:szCs w:val="32"/>
        </w:rPr>
        <w:t>变更名称的企业可在会员系统审核通过后，登录评价系统自行打印新企业名称信用证明。</w:t>
      </w:r>
    </w:p>
    <w:p w14:paraId="3C844DA4">
      <w:pPr>
        <w:spacing w:line="560" w:lineRule="exact"/>
        <w:ind w:firstLine="643"/>
        <w:rPr>
          <w:rFonts w:ascii="宋体" w:hAnsi="宋体" w:eastAsia="宋体" w:cs="仿宋"/>
          <w:sz w:val="32"/>
          <w:szCs w:val="32"/>
        </w:rPr>
      </w:pPr>
      <w:r>
        <w:rPr>
          <w:rFonts w:hint="eastAsia" w:ascii="宋体" w:hAnsi="宋体" w:eastAsia="宋体" w:cs="仿宋"/>
          <w:b/>
          <w:sz w:val="32"/>
          <w:szCs w:val="32"/>
        </w:rPr>
        <w:t>第三十</w:t>
      </w:r>
      <w:r>
        <w:rPr>
          <w:rFonts w:hint="eastAsia" w:ascii="宋体" w:hAnsi="宋体" w:eastAsia="宋体" w:cs="仿宋"/>
          <w:b/>
          <w:kern w:val="0"/>
          <w:sz w:val="32"/>
          <w:szCs w:val="32"/>
        </w:rPr>
        <w:t>四</w:t>
      </w:r>
      <w:r>
        <w:rPr>
          <w:rFonts w:hint="eastAsia" w:ascii="宋体" w:hAnsi="宋体" w:eastAsia="宋体" w:cs="仿宋"/>
          <w:b/>
          <w:sz w:val="32"/>
          <w:szCs w:val="32"/>
        </w:rPr>
        <w:t>条</w:t>
      </w:r>
      <w:r>
        <w:rPr>
          <w:rFonts w:hint="eastAsia" w:ascii="宋体" w:hAnsi="宋体" w:eastAsia="宋体" w:cs="仿宋"/>
          <w:sz w:val="32"/>
          <w:szCs w:val="32"/>
        </w:rPr>
        <w:t xml:space="preserve">  信用评价结果的运用：</w:t>
      </w:r>
    </w:p>
    <w:p w14:paraId="5750DEBC">
      <w:pPr>
        <w:spacing w:line="560" w:lineRule="exact"/>
        <w:ind w:firstLine="643"/>
        <w:rPr>
          <w:rFonts w:ascii="宋体" w:hAnsi="宋体" w:eastAsia="宋体" w:cs="仿宋"/>
          <w:sz w:val="32"/>
          <w:szCs w:val="32"/>
        </w:rPr>
      </w:pPr>
      <w:r>
        <w:rPr>
          <w:rFonts w:hint="eastAsia" w:ascii="宋体" w:hAnsi="宋体" w:eastAsia="宋体" w:cs="仿宋"/>
          <w:sz w:val="32"/>
          <w:szCs w:val="32"/>
        </w:rPr>
        <w:t>（一）根据需要上报政府信用管理相关部门；</w:t>
      </w:r>
    </w:p>
    <w:p w14:paraId="1AD66125">
      <w:pPr>
        <w:spacing w:line="560" w:lineRule="exact"/>
        <w:ind w:firstLine="643"/>
        <w:rPr>
          <w:rFonts w:ascii="宋体" w:hAnsi="宋体" w:eastAsia="宋体" w:cs="仿宋"/>
          <w:sz w:val="32"/>
          <w:szCs w:val="32"/>
        </w:rPr>
      </w:pPr>
      <w:r>
        <w:rPr>
          <w:rFonts w:hint="eastAsia" w:ascii="宋体" w:hAnsi="宋体" w:eastAsia="宋体" w:cs="仿宋"/>
          <w:sz w:val="32"/>
          <w:szCs w:val="32"/>
        </w:rPr>
        <w:t>（二）与政府其它职能部门及银行、保险机构等共享；</w:t>
      </w:r>
    </w:p>
    <w:p w14:paraId="7D1A8BF8">
      <w:pPr>
        <w:spacing w:line="560" w:lineRule="exact"/>
        <w:ind w:firstLine="643"/>
        <w:rPr>
          <w:rFonts w:ascii="宋体" w:hAnsi="宋体" w:eastAsia="宋体" w:cs="仿宋"/>
          <w:sz w:val="32"/>
          <w:szCs w:val="32"/>
        </w:rPr>
      </w:pPr>
      <w:r>
        <w:rPr>
          <w:rFonts w:hint="eastAsia" w:ascii="宋体" w:hAnsi="宋体" w:eastAsia="宋体" w:cs="仿宋"/>
          <w:sz w:val="32"/>
          <w:szCs w:val="32"/>
        </w:rPr>
        <w:t>（三）企业对社会公众进行宣传；</w:t>
      </w:r>
    </w:p>
    <w:p w14:paraId="06368DAC">
      <w:pPr>
        <w:spacing w:line="560" w:lineRule="exact"/>
        <w:ind w:firstLine="643"/>
        <w:rPr>
          <w:rFonts w:ascii="宋体" w:hAnsi="宋体" w:eastAsia="宋体" w:cs="仿宋"/>
          <w:sz w:val="32"/>
          <w:szCs w:val="32"/>
        </w:rPr>
      </w:pPr>
      <w:r>
        <w:rPr>
          <w:rFonts w:hint="eastAsia" w:ascii="宋体" w:hAnsi="宋体" w:eastAsia="宋体" w:cs="仿宋"/>
          <w:sz w:val="32"/>
          <w:szCs w:val="32"/>
        </w:rPr>
        <w:t>（四）鼓励社会主体在委托工程造价咨询业务时使用本</w:t>
      </w:r>
    </w:p>
    <w:p w14:paraId="177994BE">
      <w:pPr>
        <w:spacing w:line="560" w:lineRule="exact"/>
        <w:rPr>
          <w:rFonts w:ascii="宋体" w:hAnsi="宋体" w:eastAsia="宋体" w:cs="仿宋"/>
          <w:sz w:val="32"/>
          <w:szCs w:val="32"/>
        </w:rPr>
      </w:pPr>
      <w:r>
        <w:rPr>
          <w:rFonts w:hint="eastAsia" w:ascii="宋体" w:hAnsi="宋体" w:eastAsia="宋体" w:cs="仿宋"/>
          <w:sz w:val="32"/>
          <w:szCs w:val="32"/>
        </w:rPr>
        <w:t>评价结果作为重要评价指标之一；</w:t>
      </w:r>
    </w:p>
    <w:p w14:paraId="4C45A908">
      <w:pPr>
        <w:spacing w:line="560" w:lineRule="exact"/>
        <w:ind w:firstLine="643"/>
        <w:rPr>
          <w:rFonts w:ascii="宋体" w:hAnsi="宋体" w:eastAsia="宋体" w:cs="仿宋"/>
          <w:sz w:val="32"/>
          <w:szCs w:val="32"/>
        </w:rPr>
      </w:pPr>
      <w:r>
        <w:rPr>
          <w:rFonts w:hint="eastAsia" w:ascii="宋体" w:hAnsi="宋体" w:eastAsia="宋体" w:cs="仿宋"/>
          <w:sz w:val="32"/>
          <w:szCs w:val="32"/>
        </w:rPr>
        <w:t>（五）公布参评企业的造价咨询专业特色，供社会主体</w:t>
      </w:r>
    </w:p>
    <w:p w14:paraId="7D3953CE">
      <w:pPr>
        <w:spacing w:line="560" w:lineRule="exact"/>
        <w:rPr>
          <w:rFonts w:ascii="宋体" w:hAnsi="宋体" w:eastAsia="宋体" w:cs="仿宋"/>
          <w:sz w:val="32"/>
          <w:szCs w:val="32"/>
        </w:rPr>
      </w:pPr>
      <w:r>
        <w:rPr>
          <w:rFonts w:hint="eastAsia" w:ascii="宋体" w:hAnsi="宋体" w:eastAsia="宋体" w:cs="仿宋"/>
          <w:sz w:val="32"/>
          <w:szCs w:val="32"/>
        </w:rPr>
        <w:t>选择造价咨询中介机构时参考；</w:t>
      </w:r>
    </w:p>
    <w:p w14:paraId="4C4A2334">
      <w:pPr>
        <w:spacing w:line="560" w:lineRule="exact"/>
        <w:ind w:firstLine="643"/>
        <w:rPr>
          <w:rFonts w:ascii="宋体" w:hAnsi="宋体" w:eastAsia="宋体" w:cs="仿宋"/>
          <w:sz w:val="32"/>
          <w:szCs w:val="32"/>
        </w:rPr>
      </w:pPr>
      <w:r>
        <w:rPr>
          <w:rFonts w:hint="eastAsia" w:ascii="宋体" w:hAnsi="宋体" w:eastAsia="宋体" w:cs="仿宋"/>
          <w:b/>
          <w:sz w:val="32"/>
          <w:szCs w:val="32"/>
        </w:rPr>
        <w:t xml:space="preserve">第三十五条  </w:t>
      </w:r>
      <w:r>
        <w:rPr>
          <w:rFonts w:hint="eastAsia" w:ascii="宋体" w:hAnsi="宋体" w:eastAsia="宋体" w:cs="仿宋"/>
          <w:sz w:val="32"/>
          <w:szCs w:val="32"/>
        </w:rPr>
        <w:t>研究会对其评价的信用等级高、能力范围广的企业，给予以下激励措施：</w:t>
      </w:r>
    </w:p>
    <w:p w14:paraId="60260D3E">
      <w:pPr>
        <w:spacing w:line="560" w:lineRule="exact"/>
        <w:ind w:firstLine="643"/>
        <w:rPr>
          <w:rFonts w:ascii="宋体" w:hAnsi="宋体" w:eastAsia="宋体" w:cs="仿宋"/>
          <w:sz w:val="32"/>
          <w:szCs w:val="32"/>
        </w:rPr>
      </w:pPr>
      <w:r>
        <w:rPr>
          <w:rFonts w:hint="eastAsia" w:ascii="宋体" w:hAnsi="宋体" w:eastAsia="宋体" w:cs="仿宋"/>
          <w:sz w:val="32"/>
          <w:szCs w:val="32"/>
        </w:rPr>
        <w:t>（一）在自办刊物、网站、微信公众号等新闻媒介刊登</w:t>
      </w:r>
    </w:p>
    <w:p w14:paraId="5928F633">
      <w:pPr>
        <w:spacing w:line="560" w:lineRule="exact"/>
        <w:rPr>
          <w:rFonts w:ascii="宋体" w:hAnsi="宋体" w:eastAsia="宋体" w:cs="仿宋"/>
          <w:sz w:val="32"/>
          <w:szCs w:val="32"/>
        </w:rPr>
      </w:pPr>
      <w:r>
        <w:rPr>
          <w:rFonts w:hint="eastAsia" w:ascii="宋体" w:hAnsi="宋体" w:eastAsia="宋体" w:cs="仿宋"/>
          <w:sz w:val="32"/>
          <w:szCs w:val="32"/>
        </w:rPr>
        <w:t>宣传；</w:t>
      </w:r>
    </w:p>
    <w:p w14:paraId="08011F33">
      <w:pPr>
        <w:spacing w:line="560" w:lineRule="exact"/>
        <w:ind w:firstLine="643"/>
        <w:rPr>
          <w:rFonts w:ascii="宋体" w:hAnsi="宋体" w:eastAsia="宋体" w:cs="仿宋"/>
          <w:sz w:val="32"/>
          <w:szCs w:val="32"/>
        </w:rPr>
      </w:pPr>
      <w:r>
        <w:rPr>
          <w:rFonts w:hint="eastAsia" w:ascii="宋体" w:hAnsi="宋体" w:eastAsia="宋体" w:cs="仿宋"/>
          <w:sz w:val="32"/>
          <w:szCs w:val="32"/>
        </w:rPr>
        <w:t>（二）给予更多机会参与造价行业管理机构或协会组织</w:t>
      </w:r>
    </w:p>
    <w:p w14:paraId="352DE5A7">
      <w:pPr>
        <w:spacing w:line="560" w:lineRule="exact"/>
        <w:rPr>
          <w:rFonts w:ascii="宋体" w:hAnsi="宋体" w:eastAsia="宋体" w:cs="仿宋"/>
          <w:sz w:val="32"/>
          <w:szCs w:val="32"/>
        </w:rPr>
      </w:pPr>
      <w:r>
        <w:rPr>
          <w:rFonts w:hint="eastAsia" w:ascii="宋体" w:hAnsi="宋体" w:eastAsia="宋体" w:cs="仿宋"/>
          <w:sz w:val="32"/>
          <w:szCs w:val="32"/>
        </w:rPr>
        <w:t>的调研、学术研究等活动；</w:t>
      </w:r>
    </w:p>
    <w:p w14:paraId="595A73A4">
      <w:pPr>
        <w:spacing w:line="560" w:lineRule="exact"/>
        <w:ind w:firstLine="643"/>
        <w:rPr>
          <w:rFonts w:ascii="宋体" w:hAnsi="宋体" w:eastAsia="宋体" w:cs="仿宋"/>
          <w:sz w:val="32"/>
          <w:szCs w:val="32"/>
        </w:rPr>
      </w:pPr>
      <w:r>
        <w:rPr>
          <w:rFonts w:hint="eastAsia" w:ascii="宋体" w:hAnsi="宋体" w:eastAsia="宋体" w:cs="仿宋"/>
          <w:sz w:val="32"/>
          <w:szCs w:val="32"/>
        </w:rPr>
        <w:t>（三）优先承担团体标准的编制及行业相关课题的研究</w:t>
      </w:r>
    </w:p>
    <w:p w14:paraId="52DC50D4">
      <w:pPr>
        <w:spacing w:line="560" w:lineRule="exact"/>
        <w:rPr>
          <w:rFonts w:ascii="宋体" w:hAnsi="宋体" w:eastAsia="宋体" w:cs="仿宋"/>
          <w:sz w:val="32"/>
          <w:szCs w:val="32"/>
        </w:rPr>
      </w:pPr>
      <w:r>
        <w:rPr>
          <w:rFonts w:hint="eastAsia" w:ascii="宋体" w:hAnsi="宋体" w:eastAsia="宋体" w:cs="仿宋"/>
          <w:sz w:val="32"/>
          <w:szCs w:val="32"/>
        </w:rPr>
        <w:t>等工作；</w:t>
      </w:r>
    </w:p>
    <w:p w14:paraId="08035806">
      <w:pPr>
        <w:spacing w:line="560" w:lineRule="exact"/>
        <w:ind w:firstLine="643"/>
        <w:rPr>
          <w:rFonts w:ascii="宋体" w:hAnsi="宋体" w:eastAsia="宋体" w:cs="仿宋"/>
          <w:sz w:val="32"/>
          <w:szCs w:val="32"/>
        </w:rPr>
      </w:pPr>
      <w:r>
        <w:rPr>
          <w:rFonts w:hint="eastAsia" w:ascii="宋体" w:hAnsi="宋体" w:eastAsia="宋体" w:cs="仿宋"/>
          <w:sz w:val="32"/>
          <w:szCs w:val="32"/>
        </w:rPr>
        <w:t>（四）向需求单位推荐。</w:t>
      </w:r>
    </w:p>
    <w:p w14:paraId="1900AD46">
      <w:pPr>
        <w:pStyle w:val="2"/>
        <w:spacing w:line="560" w:lineRule="exact"/>
        <w:jc w:val="center"/>
        <w:rPr>
          <w:rFonts w:cs="仿宋"/>
          <w:sz w:val="32"/>
          <w:szCs w:val="32"/>
        </w:rPr>
      </w:pPr>
      <w:r>
        <w:rPr>
          <w:rFonts w:hint="eastAsia" w:cs="仿宋"/>
          <w:sz w:val="32"/>
          <w:szCs w:val="32"/>
        </w:rPr>
        <w:t>第九章  监督和管理</w:t>
      </w:r>
    </w:p>
    <w:p w14:paraId="43B6FEEF">
      <w:pPr>
        <w:spacing w:line="560" w:lineRule="exact"/>
        <w:ind w:firstLine="643"/>
        <w:rPr>
          <w:rFonts w:ascii="宋体" w:hAnsi="宋体" w:eastAsia="宋体" w:cs="仿宋"/>
          <w:sz w:val="32"/>
          <w:szCs w:val="32"/>
        </w:rPr>
      </w:pPr>
      <w:r>
        <w:rPr>
          <w:rFonts w:hint="eastAsia" w:ascii="宋体" w:hAnsi="宋体" w:eastAsia="宋体" w:cs="仿宋"/>
          <w:b/>
          <w:sz w:val="32"/>
          <w:szCs w:val="32"/>
        </w:rPr>
        <w:t>第三十六条</w:t>
      </w:r>
      <w:r>
        <w:rPr>
          <w:rFonts w:hint="eastAsia" w:ascii="宋体" w:hAnsi="宋体" w:eastAsia="宋体" w:cs="仿宋"/>
          <w:sz w:val="32"/>
          <w:szCs w:val="32"/>
        </w:rPr>
        <w:t xml:space="preserve">  申请信用评价的工程造价咨询企业，对申报材料的真实性、合法性、有效性负责，对因提供虚假材料引发的一切后果承担相应责任。</w:t>
      </w:r>
    </w:p>
    <w:p w14:paraId="28B9E517">
      <w:pPr>
        <w:spacing w:line="560" w:lineRule="exact"/>
        <w:ind w:firstLine="643"/>
        <w:rPr>
          <w:rFonts w:ascii="宋体" w:hAnsi="宋体" w:eastAsia="宋体" w:cs="仿宋"/>
          <w:sz w:val="32"/>
          <w:szCs w:val="32"/>
        </w:rPr>
      </w:pPr>
      <w:r>
        <w:rPr>
          <w:rFonts w:hint="eastAsia" w:ascii="宋体" w:hAnsi="宋体" w:eastAsia="宋体" w:cs="仿宋"/>
          <w:b/>
          <w:sz w:val="32"/>
          <w:szCs w:val="32"/>
        </w:rPr>
        <w:t xml:space="preserve">第三十七条  </w:t>
      </w:r>
      <w:r>
        <w:rPr>
          <w:rFonts w:hint="eastAsia" w:ascii="宋体" w:hAnsi="宋体" w:eastAsia="宋体" w:cs="仿宋"/>
          <w:sz w:val="32"/>
          <w:szCs w:val="32"/>
        </w:rPr>
        <w:t>参评企业在研究会信用信息平台已建立的信用档案内容与申报内容有差异的，以评价系统记录的信息内容作为评价依据。出现重大差异的，查实后进行修正，并对填报企业虚报、瞒报的不良行为进行处理。</w:t>
      </w:r>
    </w:p>
    <w:p w14:paraId="4BD560B9">
      <w:pPr>
        <w:spacing w:line="560" w:lineRule="exact"/>
        <w:ind w:firstLine="643"/>
        <w:rPr>
          <w:rFonts w:ascii="宋体" w:hAnsi="宋体" w:eastAsia="宋体" w:cs="仿宋"/>
          <w:sz w:val="32"/>
          <w:szCs w:val="32"/>
        </w:rPr>
      </w:pPr>
      <w:r>
        <w:rPr>
          <w:rFonts w:hint="eastAsia" w:ascii="宋体" w:hAnsi="宋体" w:eastAsia="宋体" w:cs="仿宋"/>
          <w:b/>
          <w:sz w:val="32"/>
          <w:szCs w:val="32"/>
        </w:rPr>
        <w:t xml:space="preserve">第三十八条  </w:t>
      </w:r>
      <w:r>
        <w:rPr>
          <w:rFonts w:hint="eastAsia" w:ascii="宋体" w:hAnsi="宋体" w:eastAsia="宋体" w:cs="仿宋"/>
          <w:sz w:val="32"/>
          <w:szCs w:val="32"/>
        </w:rPr>
        <w:t>信用评价结果接受社会监督。</w:t>
      </w:r>
    </w:p>
    <w:p w14:paraId="6EFC12F6">
      <w:pPr>
        <w:spacing w:line="560" w:lineRule="exact"/>
        <w:ind w:firstLine="643"/>
        <w:rPr>
          <w:rFonts w:ascii="宋体" w:hAnsi="宋体" w:eastAsia="宋体" w:cs="仿宋"/>
          <w:sz w:val="32"/>
          <w:szCs w:val="32"/>
        </w:rPr>
      </w:pPr>
      <w:r>
        <w:rPr>
          <w:rFonts w:hint="eastAsia" w:ascii="宋体" w:hAnsi="宋体" w:eastAsia="宋体" w:cs="仿宋"/>
          <w:b/>
          <w:sz w:val="32"/>
          <w:szCs w:val="32"/>
        </w:rPr>
        <w:t xml:space="preserve">第三十九条  </w:t>
      </w:r>
      <w:r>
        <w:rPr>
          <w:rFonts w:hint="eastAsia" w:ascii="宋体" w:hAnsi="宋体" w:eastAsia="宋体" w:cs="仿宋"/>
          <w:sz w:val="32"/>
          <w:szCs w:val="32"/>
        </w:rPr>
        <w:t>参加信用评价的工作人员要认真履行职责，不得徇私舞弊，与参评单位有利害关系的应主动回避。</w:t>
      </w:r>
    </w:p>
    <w:p w14:paraId="6768B9DC">
      <w:pPr>
        <w:spacing w:line="560" w:lineRule="exact"/>
        <w:ind w:firstLine="643"/>
        <w:rPr>
          <w:rFonts w:ascii="宋体" w:hAnsi="宋体" w:eastAsia="宋体" w:cs="仿宋"/>
          <w:sz w:val="32"/>
          <w:szCs w:val="32"/>
        </w:rPr>
      </w:pPr>
      <w:r>
        <w:rPr>
          <w:rFonts w:hint="eastAsia" w:ascii="宋体" w:hAnsi="宋体" w:eastAsia="宋体" w:cs="仿宋"/>
          <w:sz w:val="32"/>
          <w:szCs w:val="32"/>
        </w:rPr>
        <w:t>参与评价工作的单位和个人违反本办法规定的，责令其改正；在工作中玩忽职守、弄虚作假、滥用职权、徇私舞弊的，提请相关单位对其进行处理；涉嫌犯罪的，提请司法机关依法追究其刑事责任。</w:t>
      </w:r>
    </w:p>
    <w:p w14:paraId="2E8052EA">
      <w:pPr>
        <w:pStyle w:val="2"/>
        <w:spacing w:line="560" w:lineRule="exact"/>
        <w:jc w:val="center"/>
        <w:rPr>
          <w:rFonts w:cs="仿宋"/>
          <w:sz w:val="32"/>
          <w:szCs w:val="32"/>
        </w:rPr>
      </w:pPr>
      <w:r>
        <w:rPr>
          <w:rFonts w:hint="eastAsia" w:cs="仿宋"/>
          <w:sz w:val="32"/>
          <w:szCs w:val="32"/>
        </w:rPr>
        <w:t>第十章  附  则</w:t>
      </w:r>
    </w:p>
    <w:p w14:paraId="51C5E0E2">
      <w:pPr>
        <w:spacing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第四十条  </w:t>
      </w:r>
      <w:r>
        <w:rPr>
          <w:rFonts w:hint="eastAsia" w:ascii="宋体" w:hAnsi="宋体" w:eastAsia="宋体" w:cs="仿宋"/>
          <w:sz w:val="32"/>
          <w:szCs w:val="32"/>
        </w:rPr>
        <w:t>本办法由</w:t>
      </w:r>
      <w:bookmarkStart w:id="3" w:name="_GoBack"/>
      <w:r>
        <w:rPr>
          <w:rFonts w:hint="eastAsia" w:ascii="宋体" w:hAnsi="宋体" w:eastAsia="宋体" w:cs="仿宋"/>
          <w:sz w:val="32"/>
          <w:szCs w:val="32"/>
        </w:rPr>
        <w:t>河北省</w:t>
      </w:r>
      <w:bookmarkEnd w:id="3"/>
      <w:r>
        <w:rPr>
          <w:rFonts w:hint="eastAsia" w:ascii="宋体" w:hAnsi="宋体" w:eastAsia="宋体" w:cs="仿宋"/>
          <w:sz w:val="32"/>
          <w:szCs w:val="32"/>
        </w:rPr>
        <w:t>建筑市场发展研究会组织制定并解释。</w:t>
      </w:r>
    </w:p>
    <w:p w14:paraId="7E81B971">
      <w:pPr>
        <w:spacing w:line="560" w:lineRule="exact"/>
        <w:ind w:firstLine="643" w:firstLineChars="200"/>
        <w:rPr>
          <w:rFonts w:ascii="宋体" w:hAnsi="宋体" w:eastAsia="宋体" w:cs="仿宋"/>
          <w:sz w:val="32"/>
          <w:szCs w:val="32"/>
        </w:rPr>
      </w:pPr>
      <w:r>
        <w:rPr>
          <w:rFonts w:hint="eastAsia" w:ascii="宋体" w:hAnsi="宋体" w:eastAsia="宋体" w:cs="仿宋"/>
          <w:b/>
          <w:sz w:val="32"/>
          <w:szCs w:val="32"/>
        </w:rPr>
        <w:t xml:space="preserve">第四十一条  </w:t>
      </w:r>
      <w:r>
        <w:rPr>
          <w:rFonts w:hint="eastAsia" w:ascii="宋体" w:hAnsi="宋体" w:eastAsia="宋体" w:cs="仿宋"/>
          <w:sz w:val="32"/>
          <w:szCs w:val="32"/>
        </w:rPr>
        <w:t>本办法自发布之日起施行。</w:t>
      </w:r>
    </w:p>
    <w:p w14:paraId="5D6CD9C7">
      <w:pPr>
        <w:spacing w:line="560" w:lineRule="exact"/>
        <w:ind w:firstLine="640" w:firstLineChars="200"/>
        <w:rPr>
          <w:rFonts w:ascii="宋体" w:hAnsi="宋体" w:eastAsia="宋体" w:cs="仿宋"/>
          <w:sz w:val="32"/>
          <w:szCs w:val="32"/>
        </w:rPr>
      </w:pPr>
    </w:p>
    <w:p w14:paraId="69D6B4D2">
      <w:pPr>
        <w:spacing w:line="560" w:lineRule="exact"/>
        <w:rPr>
          <w:rFonts w:ascii="宋体" w:hAnsi="宋体" w:eastAsia="宋体" w:cs="仿宋"/>
          <w:sz w:val="32"/>
          <w:szCs w:val="32"/>
        </w:rPr>
      </w:pPr>
      <w:r>
        <w:rPr>
          <w:rFonts w:hint="eastAsia" w:ascii="宋体" w:hAnsi="宋体" w:eastAsia="宋体" w:cs="仿宋"/>
          <w:sz w:val="32"/>
          <w:szCs w:val="32"/>
        </w:rPr>
        <w:t>附件：1.工程造价咨询企业信用评价标准</w:t>
      </w:r>
    </w:p>
    <w:p w14:paraId="34BF2E01">
      <w:pPr>
        <w:spacing w:line="560" w:lineRule="exact"/>
        <w:ind w:firstLine="960" w:firstLineChars="300"/>
        <w:rPr>
          <w:rFonts w:ascii="宋体" w:hAnsi="宋体" w:eastAsia="宋体" w:cs="仿宋"/>
          <w:sz w:val="32"/>
          <w:szCs w:val="32"/>
        </w:rPr>
      </w:pPr>
      <w:r>
        <w:rPr>
          <w:rFonts w:hint="eastAsia" w:ascii="宋体" w:hAnsi="宋体" w:eastAsia="宋体" w:cs="仿宋"/>
          <w:sz w:val="32"/>
          <w:szCs w:val="32"/>
        </w:rPr>
        <w:t>2.工程造价咨询企业营业收入及造价咨询业务收入</w:t>
      </w:r>
    </w:p>
    <w:p w14:paraId="63D2B442">
      <w:pPr>
        <w:spacing w:line="560" w:lineRule="exact"/>
        <w:ind w:firstLine="1280" w:firstLineChars="400"/>
        <w:rPr>
          <w:rFonts w:ascii="宋体" w:hAnsi="宋体" w:eastAsia="宋体" w:cs="仿宋"/>
          <w:sz w:val="32"/>
          <w:szCs w:val="32"/>
        </w:rPr>
      </w:pPr>
      <w:r>
        <w:rPr>
          <w:rFonts w:hint="eastAsia" w:ascii="宋体" w:hAnsi="宋体" w:eastAsia="宋体" w:cs="仿宋"/>
          <w:sz w:val="32"/>
          <w:szCs w:val="32"/>
        </w:rPr>
        <w:t>评分表</w:t>
      </w:r>
    </w:p>
    <w:p w14:paraId="61A28F57">
      <w:pPr>
        <w:spacing w:line="560" w:lineRule="exact"/>
        <w:ind w:firstLine="960" w:firstLineChars="300"/>
        <w:rPr>
          <w:rFonts w:ascii="宋体" w:hAnsi="宋体" w:eastAsia="宋体" w:cs="仿宋"/>
          <w:sz w:val="32"/>
          <w:szCs w:val="32"/>
        </w:rPr>
      </w:pPr>
      <w:r>
        <w:rPr>
          <w:rFonts w:hint="eastAsia" w:ascii="宋体" w:hAnsi="宋体" w:eastAsia="宋体" w:cs="仿宋"/>
          <w:sz w:val="32"/>
          <w:szCs w:val="32"/>
        </w:rPr>
        <w:t>3.工程造价咨询企业良好行为加分表</w:t>
      </w:r>
    </w:p>
    <w:p w14:paraId="56CC85B1">
      <w:pPr>
        <w:spacing w:line="560" w:lineRule="exact"/>
        <w:ind w:firstLine="960" w:firstLineChars="300"/>
        <w:rPr>
          <w:rFonts w:ascii="宋体" w:hAnsi="宋体" w:eastAsia="宋体" w:cs="仿宋"/>
          <w:sz w:val="32"/>
          <w:szCs w:val="32"/>
        </w:rPr>
      </w:pPr>
      <w:r>
        <w:rPr>
          <w:rFonts w:hint="eastAsia" w:ascii="宋体" w:hAnsi="宋体" w:eastAsia="宋体" w:cs="仿宋"/>
          <w:sz w:val="32"/>
          <w:szCs w:val="32"/>
        </w:rPr>
        <w:t xml:space="preserve">4.工程造价咨询企业不良行为扣分表 </w:t>
      </w:r>
    </w:p>
    <w:p w14:paraId="212466A5">
      <w:pPr>
        <w:spacing w:line="560" w:lineRule="exact"/>
        <w:ind w:firstLine="960" w:firstLineChars="300"/>
        <w:rPr>
          <w:rFonts w:ascii="宋体" w:hAnsi="宋体" w:eastAsia="宋体" w:cs="仿宋"/>
          <w:sz w:val="32"/>
          <w:szCs w:val="32"/>
        </w:rPr>
      </w:pPr>
    </w:p>
    <w:p w14:paraId="2F61FF8D">
      <w:pPr>
        <w:spacing w:line="560" w:lineRule="exact"/>
        <w:ind w:firstLine="960" w:firstLineChars="300"/>
        <w:rPr>
          <w:rFonts w:ascii="宋体" w:hAnsi="宋体" w:eastAsia="宋体" w:cs="仿宋_GB2312"/>
          <w:sz w:val="32"/>
          <w:szCs w:val="32"/>
        </w:rPr>
      </w:pPr>
    </w:p>
    <w:p w14:paraId="14EA7FD8">
      <w:pPr>
        <w:spacing w:line="560" w:lineRule="exact"/>
        <w:ind w:firstLine="960" w:firstLineChars="300"/>
        <w:rPr>
          <w:rFonts w:ascii="宋体" w:hAnsi="宋体" w:eastAsia="宋体" w:cs="仿宋_GB2312"/>
          <w:sz w:val="32"/>
          <w:szCs w:val="32"/>
        </w:rPr>
      </w:pPr>
    </w:p>
    <w:p w14:paraId="5EFC6626">
      <w:pPr>
        <w:spacing w:line="560" w:lineRule="exact"/>
        <w:rPr>
          <w:rFonts w:ascii="宋体" w:hAnsi="宋体" w:eastAsia="宋体" w:cs="仿宋_GB2312"/>
          <w:sz w:val="32"/>
          <w:szCs w:val="32"/>
        </w:rPr>
        <w:sectPr>
          <w:footerReference r:id="rId3" w:type="default"/>
          <w:pgSz w:w="11906" w:h="16838"/>
          <w:pgMar w:top="1440" w:right="1701" w:bottom="1440" w:left="1701" w:header="851" w:footer="992" w:gutter="0"/>
          <w:cols w:space="425" w:num="1"/>
          <w:docGrid w:type="lines" w:linePitch="312" w:charSpace="0"/>
        </w:sectPr>
      </w:pPr>
    </w:p>
    <w:p w14:paraId="14C20C64">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附件1.                   </w:t>
      </w:r>
    </w:p>
    <w:p w14:paraId="3C3A4D96">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工程造价咨询企业信用评价标准</w:t>
      </w:r>
    </w:p>
    <w:tbl>
      <w:tblPr>
        <w:tblStyle w:val="8"/>
        <w:tblW w:w="14885" w:type="dxa"/>
        <w:tblInd w:w="-318" w:type="dxa"/>
        <w:shd w:val="clear" w:color="auto" w:fill="FFFFFF" w:themeFill="background1"/>
        <w:tblLayout w:type="fixed"/>
        <w:tblCellMar>
          <w:top w:w="0" w:type="dxa"/>
          <w:left w:w="108" w:type="dxa"/>
          <w:bottom w:w="0" w:type="dxa"/>
          <w:right w:w="108" w:type="dxa"/>
        </w:tblCellMar>
      </w:tblPr>
      <w:tblGrid>
        <w:gridCol w:w="1135"/>
        <w:gridCol w:w="1134"/>
        <w:gridCol w:w="1418"/>
        <w:gridCol w:w="3118"/>
        <w:gridCol w:w="1276"/>
        <w:gridCol w:w="709"/>
        <w:gridCol w:w="708"/>
        <w:gridCol w:w="5387"/>
      </w:tblGrid>
      <w:tr w14:paraId="1268B75B">
        <w:tblPrEx>
          <w:shd w:val="clear" w:color="auto" w:fill="FFFFFF" w:themeFill="background1"/>
          <w:tblCellMar>
            <w:top w:w="0" w:type="dxa"/>
            <w:left w:w="108" w:type="dxa"/>
            <w:bottom w:w="0" w:type="dxa"/>
            <w:right w:w="108" w:type="dxa"/>
          </w:tblCellMar>
        </w:tblPrEx>
        <w:trPr>
          <w:trHeight w:val="750" w:hRule="atLeast"/>
        </w:trPr>
        <w:tc>
          <w:tcPr>
            <w:tcW w:w="11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CB50F5">
            <w:pPr>
              <w:widowControl/>
              <w:jc w:val="center"/>
              <w:textAlignment w:val="center"/>
              <w:rPr>
                <w:rFonts w:ascii="宋体" w:hAnsi="宋体" w:eastAsia="宋体" w:cs="宋体"/>
                <w:b/>
                <w:bCs/>
                <w:sz w:val="22"/>
              </w:rPr>
            </w:pPr>
            <w:r>
              <w:rPr>
                <w:rFonts w:hint="eastAsia" w:ascii="宋体" w:hAnsi="宋体" w:eastAsia="宋体" w:cs="宋体"/>
                <w:b/>
                <w:bCs/>
                <w:kern w:val="0"/>
                <w:sz w:val="22"/>
              </w:rPr>
              <w:t>一级指标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2830F9">
            <w:pPr>
              <w:widowControl/>
              <w:jc w:val="center"/>
              <w:textAlignment w:val="center"/>
              <w:rPr>
                <w:rFonts w:ascii="宋体" w:hAnsi="宋体" w:eastAsia="宋体" w:cs="宋体"/>
                <w:b/>
                <w:bCs/>
                <w:sz w:val="22"/>
              </w:rPr>
            </w:pPr>
            <w:r>
              <w:rPr>
                <w:rFonts w:hint="eastAsia" w:ascii="宋体" w:hAnsi="宋体" w:eastAsia="宋体" w:cs="宋体"/>
                <w:b/>
                <w:bCs/>
                <w:kern w:val="0"/>
                <w:sz w:val="22"/>
              </w:rPr>
              <w:t>二级指标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4DBC31">
            <w:pPr>
              <w:widowControl/>
              <w:jc w:val="center"/>
              <w:textAlignment w:val="center"/>
              <w:rPr>
                <w:rFonts w:ascii="宋体" w:hAnsi="宋体" w:eastAsia="宋体" w:cs="宋体"/>
                <w:b/>
                <w:bCs/>
                <w:sz w:val="22"/>
              </w:rPr>
            </w:pPr>
            <w:r>
              <w:rPr>
                <w:rFonts w:hint="eastAsia" w:ascii="宋体" w:hAnsi="宋体" w:eastAsia="宋体" w:cs="宋体"/>
                <w:b/>
                <w:bCs/>
                <w:kern w:val="0"/>
                <w:sz w:val="22"/>
              </w:rPr>
              <w:t>三级指标</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3198AF">
            <w:pPr>
              <w:widowControl/>
              <w:jc w:val="center"/>
              <w:textAlignment w:val="center"/>
              <w:rPr>
                <w:rFonts w:ascii="宋体" w:hAnsi="宋体" w:eastAsia="宋体" w:cs="宋体"/>
                <w:b/>
                <w:bCs/>
                <w:sz w:val="22"/>
              </w:rPr>
            </w:pPr>
            <w:r>
              <w:rPr>
                <w:rFonts w:hint="eastAsia" w:ascii="宋体" w:hAnsi="宋体" w:eastAsia="宋体" w:cs="宋体"/>
                <w:b/>
                <w:bCs/>
                <w:kern w:val="0"/>
                <w:sz w:val="22"/>
              </w:rPr>
              <w:t>评价标准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838CE">
            <w:pPr>
              <w:widowControl/>
              <w:jc w:val="center"/>
              <w:textAlignment w:val="center"/>
              <w:rPr>
                <w:rFonts w:ascii="宋体" w:hAnsi="宋体" w:eastAsia="宋体" w:cs="宋体"/>
                <w:b/>
                <w:bCs/>
                <w:sz w:val="22"/>
              </w:rPr>
            </w:pPr>
            <w:r>
              <w:rPr>
                <w:rFonts w:hint="eastAsia" w:ascii="宋体" w:hAnsi="宋体" w:eastAsia="宋体" w:cs="宋体"/>
                <w:b/>
                <w:bCs/>
                <w:kern w:val="0"/>
                <w:sz w:val="22"/>
              </w:rPr>
              <w:t>计算公式</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D9ED1A">
            <w:pPr>
              <w:widowControl/>
              <w:jc w:val="center"/>
              <w:textAlignment w:val="center"/>
              <w:rPr>
                <w:rFonts w:ascii="宋体" w:hAnsi="宋体" w:eastAsia="宋体" w:cs="宋体"/>
                <w:b/>
                <w:bCs/>
                <w:sz w:val="22"/>
              </w:rPr>
            </w:pPr>
            <w:r>
              <w:rPr>
                <w:rFonts w:hint="eastAsia" w:ascii="宋体" w:hAnsi="宋体" w:eastAsia="宋体" w:cs="宋体"/>
                <w:b/>
                <w:bCs/>
                <w:kern w:val="0"/>
                <w:sz w:val="22"/>
              </w:rPr>
              <w:t>得分限额</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5E304C">
            <w:pPr>
              <w:widowControl/>
              <w:jc w:val="center"/>
              <w:textAlignment w:val="center"/>
              <w:rPr>
                <w:rFonts w:ascii="宋体" w:hAnsi="宋体" w:eastAsia="宋体" w:cs="宋体"/>
                <w:b/>
                <w:bCs/>
                <w:sz w:val="22"/>
              </w:rPr>
            </w:pPr>
            <w:r>
              <w:rPr>
                <w:rFonts w:hint="eastAsia" w:ascii="宋体" w:hAnsi="宋体" w:eastAsia="宋体" w:cs="宋体"/>
                <w:b/>
                <w:bCs/>
                <w:kern w:val="0"/>
                <w:sz w:val="22"/>
              </w:rPr>
              <w:t>扣分限额</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E9025">
            <w:pPr>
              <w:widowControl/>
              <w:jc w:val="center"/>
              <w:textAlignment w:val="center"/>
              <w:rPr>
                <w:rFonts w:ascii="宋体" w:hAnsi="宋体" w:eastAsia="宋体" w:cs="宋体"/>
                <w:b/>
                <w:bCs/>
                <w:sz w:val="22"/>
              </w:rPr>
            </w:pPr>
            <w:r>
              <w:rPr>
                <w:rFonts w:hint="eastAsia" w:ascii="宋体" w:hAnsi="宋体" w:eastAsia="宋体" w:cs="宋体"/>
                <w:b/>
                <w:bCs/>
                <w:kern w:val="0"/>
                <w:sz w:val="22"/>
              </w:rPr>
              <w:t>说明</w:t>
            </w:r>
          </w:p>
        </w:tc>
      </w:tr>
      <w:tr w14:paraId="44AD0B4F">
        <w:tblPrEx>
          <w:shd w:val="clear" w:color="auto" w:fill="FFFFFF" w:themeFill="background1"/>
          <w:tblCellMar>
            <w:top w:w="0" w:type="dxa"/>
            <w:left w:w="108" w:type="dxa"/>
            <w:bottom w:w="0" w:type="dxa"/>
            <w:right w:w="108" w:type="dxa"/>
          </w:tblCellMar>
        </w:tblPrEx>
        <w:trPr>
          <w:trHeight w:val="664" w:hRule="atLeast"/>
        </w:trPr>
        <w:tc>
          <w:tcPr>
            <w:tcW w:w="1135" w:type="dxa"/>
            <w:vMerge w:val="restart"/>
            <w:tcBorders>
              <w:top w:val="single" w:color="000000" w:sz="4" w:space="0"/>
              <w:left w:val="single" w:color="000000" w:sz="4" w:space="0"/>
              <w:right w:val="single" w:color="000000" w:sz="4" w:space="0"/>
            </w:tcBorders>
            <w:shd w:val="clear" w:color="auto" w:fill="FFFFFF" w:themeFill="background1"/>
            <w:vAlign w:val="center"/>
          </w:tcPr>
          <w:p w14:paraId="556D780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1.基本   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（30分）</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B14EE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人员结构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（23分）</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EFBB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技术负责人</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0020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具有一级注册造价工程师职业资格</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7834C">
            <w:pPr>
              <w:jc w:val="center"/>
              <w:rPr>
                <w:rFonts w:ascii="宋体" w:hAnsi="宋体" w:eastAsia="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2CE3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BE2DA">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BB763">
            <w:pPr>
              <w:jc w:val="left"/>
              <w:rPr>
                <w:rFonts w:ascii="宋体" w:hAnsi="宋体" w:eastAsia="宋体" w:cs="宋体"/>
                <w:sz w:val="20"/>
                <w:szCs w:val="20"/>
              </w:rPr>
            </w:pPr>
          </w:p>
        </w:tc>
      </w:tr>
      <w:tr w14:paraId="59E4EAA1">
        <w:tblPrEx>
          <w:shd w:val="clear" w:color="auto" w:fill="FFFFFF" w:themeFill="background1"/>
          <w:tblCellMar>
            <w:top w:w="0" w:type="dxa"/>
            <w:left w:w="108" w:type="dxa"/>
            <w:bottom w:w="0" w:type="dxa"/>
            <w:right w:w="108" w:type="dxa"/>
          </w:tblCellMar>
        </w:tblPrEx>
        <w:trPr>
          <w:trHeight w:val="1380" w:hRule="atLeast"/>
        </w:trPr>
        <w:tc>
          <w:tcPr>
            <w:tcW w:w="1135" w:type="dxa"/>
            <w:vMerge w:val="continue"/>
            <w:tcBorders>
              <w:left w:val="single" w:color="000000" w:sz="4" w:space="0"/>
              <w:right w:val="single" w:color="000000" w:sz="4" w:space="0"/>
            </w:tcBorders>
            <w:shd w:val="clear" w:color="auto" w:fill="FFFFFF" w:themeFill="background1"/>
            <w:vAlign w:val="center"/>
          </w:tcPr>
          <w:p w14:paraId="251DD0E2">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46569C">
            <w:pPr>
              <w:jc w:val="center"/>
              <w:rPr>
                <w:rFonts w:ascii="宋体" w:hAnsi="宋体" w:eastAsia="宋体" w:cs="宋体"/>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8D06F">
            <w:pPr>
              <w:jc w:val="center"/>
              <w:rPr>
                <w:rFonts w:ascii="宋体" w:hAnsi="宋体" w:eastAsia="宋体" w:cs="宋体"/>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F8714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具有一级造价工程师以外的与造价相关的其它职业资格或工程类、经济类高级职称</w:t>
            </w:r>
          </w:p>
        </w:tc>
        <w:tc>
          <w:tcPr>
            <w:tcW w:w="1276"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3855C1E">
            <w:pPr>
              <w:jc w:val="center"/>
              <w:rPr>
                <w:rFonts w:ascii="宋体" w:hAnsi="宋体" w:eastAsia="宋体" w:cs="宋体"/>
                <w:sz w:val="20"/>
                <w:szCs w:val="20"/>
              </w:rPr>
            </w:pPr>
          </w:p>
        </w:tc>
        <w:tc>
          <w:tcPr>
            <w:tcW w:w="709"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05D6CDC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2E85E">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F192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与造价相关的其它职业资格是指咨询师、建造师、建筑师、监理工程师、规划师、勘察设计注册师(注册结构工程师、注册土木工程师、注册电气工程师等)、注册会计师、资产评估师、房地产估价师、职业律师等相关职业资格。</w:t>
            </w:r>
          </w:p>
        </w:tc>
      </w:tr>
      <w:tr w14:paraId="0E2356DF">
        <w:tblPrEx>
          <w:tblCellMar>
            <w:top w:w="0" w:type="dxa"/>
            <w:left w:w="108" w:type="dxa"/>
            <w:bottom w:w="0" w:type="dxa"/>
            <w:right w:w="108" w:type="dxa"/>
          </w:tblCellMar>
        </w:tblPrEx>
        <w:trPr>
          <w:trHeight w:val="90" w:hRule="atLeast"/>
        </w:trPr>
        <w:tc>
          <w:tcPr>
            <w:tcW w:w="1135" w:type="dxa"/>
            <w:vMerge w:val="continue"/>
            <w:tcBorders>
              <w:left w:val="single" w:color="000000" w:sz="4" w:space="0"/>
              <w:right w:val="single" w:color="000000" w:sz="4" w:space="0"/>
            </w:tcBorders>
            <w:shd w:val="clear" w:color="auto" w:fill="FFFFFF" w:themeFill="background1"/>
            <w:vAlign w:val="center"/>
          </w:tcPr>
          <w:p w14:paraId="3E199ACE">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F6F5A9">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DADE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注册造价工程师</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E317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每有1名一级注册造价工程师得1分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每有1名二级注册造价工程师0.5分</w:t>
            </w:r>
          </w:p>
        </w:tc>
        <w:tc>
          <w:tcPr>
            <w:tcW w:w="1276"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084CE51">
            <w:pPr>
              <w:widowControl/>
              <w:jc w:val="center"/>
              <w:textAlignment w:val="center"/>
              <w:rPr>
                <w:rFonts w:ascii="宋体" w:hAnsi="宋体" w:eastAsia="宋体" w:cs="宋体"/>
                <w:sz w:val="20"/>
                <w:szCs w:val="20"/>
              </w:rPr>
            </w:pPr>
            <w:r>
              <w:rPr>
                <w:rStyle w:val="16"/>
                <w:rFonts w:hint="default"/>
                <w:color w:val="auto"/>
              </w:rPr>
              <w:t>1*X</w:t>
            </w:r>
            <w:r>
              <w:rPr>
                <w:rStyle w:val="17"/>
                <w:rFonts w:hint="default"/>
                <w:color w:val="auto"/>
              </w:rPr>
              <w:t>1</w:t>
            </w:r>
            <w:r>
              <w:rPr>
                <w:rStyle w:val="16"/>
                <w:rFonts w:hint="default"/>
                <w:color w:val="auto"/>
              </w:rPr>
              <w:t>+0.5*X</w:t>
            </w:r>
            <w:r>
              <w:rPr>
                <w:rStyle w:val="17"/>
                <w:rFonts w:hint="default"/>
                <w:color w:val="auto"/>
              </w:rPr>
              <w:t>2</w:t>
            </w:r>
          </w:p>
        </w:tc>
        <w:tc>
          <w:tcPr>
            <w:tcW w:w="70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1B33431B">
            <w:pPr>
              <w:widowControl/>
              <w:jc w:val="center"/>
              <w:textAlignment w:val="center"/>
              <w:rPr>
                <w:rFonts w:ascii="宋体" w:hAnsi="宋体" w:eastAsia="宋体" w:cs="宋体"/>
                <w:sz w:val="20"/>
                <w:szCs w:val="20"/>
              </w:rPr>
            </w:pPr>
            <w:r>
              <w:rPr>
                <w:rFonts w:hint="eastAsia" w:ascii="宋体" w:hAnsi="宋体" w:eastAsia="宋体" w:cs="宋体"/>
                <w:sz w:val="20"/>
                <w:szCs w:val="20"/>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E5C0D">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3D0A2B">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“X1”指注册在该企业的一级注册造价工程师的人数,</w:t>
            </w:r>
          </w:p>
          <w:p w14:paraId="2320E4B5">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“X2”指注册在该企业的二级注册造价工程师的人数。</w:t>
            </w:r>
          </w:p>
          <w:p w14:paraId="504781D0">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二级注册造价工程师最多可得8分。</w:t>
            </w:r>
          </w:p>
        </w:tc>
      </w:tr>
      <w:tr w14:paraId="09AA9926">
        <w:tblPrEx>
          <w:shd w:val="clear" w:color="auto" w:fill="FFFFFF" w:themeFill="background1"/>
          <w:tblCellMar>
            <w:top w:w="0" w:type="dxa"/>
            <w:left w:w="108" w:type="dxa"/>
            <w:bottom w:w="0" w:type="dxa"/>
            <w:right w:w="108" w:type="dxa"/>
          </w:tblCellMar>
        </w:tblPrEx>
        <w:trPr>
          <w:trHeight w:val="1258" w:hRule="atLeast"/>
        </w:trPr>
        <w:tc>
          <w:tcPr>
            <w:tcW w:w="1135" w:type="dxa"/>
            <w:vMerge w:val="continue"/>
            <w:tcBorders>
              <w:left w:val="single" w:color="000000" w:sz="4" w:space="0"/>
              <w:right w:val="single" w:color="000000" w:sz="4" w:space="0"/>
            </w:tcBorders>
            <w:shd w:val="clear" w:color="auto" w:fill="FFFFFF" w:themeFill="background1"/>
            <w:vAlign w:val="center"/>
          </w:tcPr>
          <w:p w14:paraId="258DC0EA">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3EE7D0">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5162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1.1.3</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职称与学历 </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8BD4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每有1名高级（及以上）职称人员得0.5分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每有1名硕士研究生及以上学历人员得0.5分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013448">
            <w:pPr>
              <w:widowControl/>
              <w:jc w:val="center"/>
              <w:textAlignment w:val="center"/>
              <w:rPr>
                <w:rFonts w:ascii="宋体" w:hAnsi="宋体" w:eastAsia="宋体" w:cs="宋体"/>
                <w:sz w:val="20"/>
                <w:szCs w:val="20"/>
              </w:rPr>
            </w:pPr>
            <w:r>
              <w:rPr>
                <w:rStyle w:val="16"/>
                <w:rFonts w:hint="default"/>
                <w:color w:val="auto"/>
              </w:rPr>
              <w:t>0.5*X</w:t>
            </w:r>
            <w:r>
              <w:rPr>
                <w:rStyle w:val="17"/>
                <w:rFonts w:hint="default"/>
                <w:color w:val="auto"/>
              </w:rPr>
              <w:t>1</w:t>
            </w:r>
            <w:r>
              <w:rPr>
                <w:rStyle w:val="16"/>
                <w:rFonts w:hint="default"/>
                <w:color w:val="auto"/>
              </w:rPr>
              <w:t>+0.5*X</w:t>
            </w:r>
            <w:r>
              <w:rPr>
                <w:rStyle w:val="17"/>
                <w:rFonts w:hint="default"/>
                <w:color w:val="auto"/>
              </w:rPr>
              <w:t>2</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2AD60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F0A9E">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10DBE0">
            <w:pPr>
              <w:widowControl/>
              <w:jc w:val="left"/>
              <w:textAlignment w:val="center"/>
              <w:rPr>
                <w:rFonts w:ascii="宋体" w:hAnsi="宋体" w:eastAsia="宋体" w:cs="宋体"/>
                <w:sz w:val="20"/>
                <w:szCs w:val="20"/>
              </w:rPr>
            </w:pPr>
            <w:r>
              <w:rPr>
                <w:rStyle w:val="16"/>
                <w:rFonts w:hint="default"/>
                <w:color w:val="auto"/>
              </w:rPr>
              <w:t>“X</w:t>
            </w:r>
            <w:r>
              <w:rPr>
                <w:rStyle w:val="17"/>
                <w:rFonts w:hint="default"/>
                <w:color w:val="auto"/>
              </w:rPr>
              <w:t>1</w:t>
            </w:r>
            <w:r>
              <w:rPr>
                <w:rStyle w:val="16"/>
                <w:rFonts w:hint="default"/>
                <w:color w:val="auto"/>
              </w:rPr>
              <w:t>”为高级（及以上）职称的人员数量。</w:t>
            </w:r>
            <w:r>
              <w:rPr>
                <w:rStyle w:val="16"/>
                <w:rFonts w:hint="default"/>
                <w:color w:val="auto"/>
              </w:rPr>
              <w:br w:type="textWrapping"/>
            </w:r>
            <w:r>
              <w:rPr>
                <w:rStyle w:val="16"/>
                <w:rFonts w:hint="default"/>
                <w:color w:val="auto"/>
              </w:rPr>
              <w:t>高级职称指高级工程师、高级经济师、高级会计师等与造价相关的职称。</w:t>
            </w:r>
            <w:r>
              <w:rPr>
                <w:rStyle w:val="16"/>
                <w:rFonts w:hint="default"/>
                <w:color w:val="auto"/>
              </w:rPr>
              <w:br w:type="textWrapping"/>
            </w:r>
            <w:r>
              <w:rPr>
                <w:rStyle w:val="16"/>
                <w:rFonts w:hint="default"/>
                <w:color w:val="auto"/>
              </w:rPr>
              <w:t>“X</w:t>
            </w:r>
            <w:r>
              <w:rPr>
                <w:rStyle w:val="17"/>
                <w:rFonts w:hint="default"/>
                <w:color w:val="auto"/>
              </w:rPr>
              <w:t>2</w:t>
            </w:r>
            <w:r>
              <w:rPr>
                <w:rStyle w:val="16"/>
                <w:rFonts w:hint="default"/>
                <w:color w:val="auto"/>
              </w:rPr>
              <w:t>”为硕士研究生及以上学历的人员数量。</w:t>
            </w:r>
          </w:p>
        </w:tc>
      </w:tr>
      <w:tr w14:paraId="4DFF5160">
        <w:tblPrEx>
          <w:shd w:val="clear" w:color="auto" w:fill="FFFFFF" w:themeFill="background1"/>
          <w:tblCellMar>
            <w:top w:w="0" w:type="dxa"/>
            <w:left w:w="108" w:type="dxa"/>
            <w:bottom w:w="0" w:type="dxa"/>
            <w:right w:w="108" w:type="dxa"/>
          </w:tblCellMar>
        </w:tblPrEx>
        <w:trPr>
          <w:trHeight w:val="769" w:hRule="atLeast"/>
        </w:trPr>
        <w:tc>
          <w:tcPr>
            <w:tcW w:w="1135" w:type="dxa"/>
            <w:vMerge w:val="continue"/>
            <w:tcBorders>
              <w:left w:val="single" w:color="000000" w:sz="4" w:space="0"/>
              <w:right w:val="single" w:color="000000" w:sz="4" w:space="0"/>
            </w:tcBorders>
            <w:shd w:val="clear" w:color="auto" w:fill="FFFFFF" w:themeFill="background1"/>
            <w:vAlign w:val="center"/>
          </w:tcPr>
          <w:p w14:paraId="358FD70A">
            <w:pPr>
              <w:jc w:val="center"/>
              <w:rPr>
                <w:rFonts w:ascii="宋体" w:hAnsi="宋体" w:eastAsia="宋体" w:cs="宋体"/>
                <w:sz w:val="20"/>
                <w:szCs w:val="20"/>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9924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各类组织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（3分）</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FB182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党组织</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C80C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党组织健全或党建活动正常</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ACAB0">
            <w:pPr>
              <w:jc w:val="center"/>
              <w:rPr>
                <w:rFonts w:ascii="宋体" w:hAnsi="宋体" w:eastAsia="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B285F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46E4CE">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1847A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未建立党组织的，上一年度正常开展或参加党建活动的也可得分。</w:t>
            </w:r>
          </w:p>
        </w:tc>
      </w:tr>
      <w:tr w14:paraId="24EA036B">
        <w:tblPrEx>
          <w:shd w:val="clear" w:color="auto" w:fill="FFFFFF" w:themeFill="background1"/>
          <w:tblCellMar>
            <w:top w:w="0" w:type="dxa"/>
            <w:left w:w="108" w:type="dxa"/>
            <w:bottom w:w="0" w:type="dxa"/>
            <w:right w:w="108" w:type="dxa"/>
          </w:tblCellMar>
        </w:tblPrEx>
        <w:trPr>
          <w:trHeight w:val="819" w:hRule="atLeast"/>
        </w:trPr>
        <w:tc>
          <w:tcPr>
            <w:tcW w:w="1135"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0B720A1">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04912">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62634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其它组织</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1308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有工会或妇联等组织，活动正常</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ABB56">
            <w:pPr>
              <w:jc w:val="center"/>
              <w:rPr>
                <w:rFonts w:ascii="宋体" w:hAnsi="宋体" w:eastAsia="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3E571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9F7FD7">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7BB2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未建立工会或妇联等组织的，上一年度正常开展相关活动的也可得分。</w:t>
            </w:r>
          </w:p>
        </w:tc>
      </w:tr>
      <w:tr w14:paraId="157069ED">
        <w:tblPrEx>
          <w:shd w:val="clear" w:color="auto" w:fill="FFFFFF" w:themeFill="background1"/>
          <w:tblCellMar>
            <w:top w:w="0" w:type="dxa"/>
            <w:left w:w="108" w:type="dxa"/>
            <w:bottom w:w="0" w:type="dxa"/>
            <w:right w:w="108" w:type="dxa"/>
          </w:tblCellMar>
        </w:tblPrEx>
        <w:trPr>
          <w:trHeight w:val="794" w:hRule="atLeast"/>
        </w:trPr>
        <w:tc>
          <w:tcPr>
            <w:tcW w:w="113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9C1C973">
            <w:pPr>
              <w:widowControl/>
              <w:jc w:val="center"/>
              <w:textAlignment w:val="center"/>
              <w:rPr>
                <w:rFonts w:ascii="宋体" w:hAnsi="宋体" w:eastAsia="宋体" w:cs="宋体"/>
                <w:b/>
                <w:bCs/>
                <w:sz w:val="22"/>
              </w:rPr>
            </w:pPr>
            <w:r>
              <w:rPr>
                <w:rFonts w:hint="eastAsia" w:ascii="宋体" w:hAnsi="宋体" w:eastAsia="宋体" w:cs="宋体"/>
                <w:b/>
                <w:bCs/>
                <w:kern w:val="0"/>
                <w:sz w:val="22"/>
              </w:rPr>
              <w:t>一级指标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1B9B4B">
            <w:pPr>
              <w:widowControl/>
              <w:jc w:val="center"/>
              <w:textAlignment w:val="center"/>
              <w:rPr>
                <w:rFonts w:ascii="宋体" w:hAnsi="宋体" w:eastAsia="宋体" w:cs="宋体"/>
                <w:b/>
                <w:bCs/>
                <w:sz w:val="22"/>
              </w:rPr>
            </w:pPr>
            <w:r>
              <w:rPr>
                <w:rFonts w:hint="eastAsia" w:ascii="宋体" w:hAnsi="宋体" w:eastAsia="宋体" w:cs="宋体"/>
                <w:b/>
                <w:bCs/>
                <w:kern w:val="0"/>
                <w:sz w:val="22"/>
              </w:rPr>
              <w:t>二级指标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846F6">
            <w:pPr>
              <w:widowControl/>
              <w:jc w:val="center"/>
              <w:textAlignment w:val="center"/>
              <w:rPr>
                <w:rFonts w:ascii="宋体" w:hAnsi="宋体" w:eastAsia="宋体" w:cs="宋体"/>
                <w:b/>
                <w:bCs/>
                <w:sz w:val="22"/>
              </w:rPr>
            </w:pPr>
            <w:r>
              <w:rPr>
                <w:rFonts w:hint="eastAsia" w:ascii="宋体" w:hAnsi="宋体" w:eastAsia="宋体" w:cs="宋体"/>
                <w:b/>
                <w:bCs/>
                <w:kern w:val="0"/>
                <w:sz w:val="22"/>
              </w:rPr>
              <w:t>三级指标</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311C6">
            <w:pPr>
              <w:widowControl/>
              <w:jc w:val="center"/>
              <w:textAlignment w:val="center"/>
              <w:rPr>
                <w:rFonts w:ascii="宋体" w:hAnsi="宋体" w:eastAsia="宋体" w:cs="宋体"/>
                <w:b/>
                <w:bCs/>
                <w:sz w:val="22"/>
              </w:rPr>
            </w:pPr>
            <w:r>
              <w:rPr>
                <w:rFonts w:hint="eastAsia" w:ascii="宋体" w:hAnsi="宋体" w:eastAsia="宋体" w:cs="宋体"/>
                <w:b/>
                <w:bCs/>
                <w:kern w:val="0"/>
                <w:sz w:val="22"/>
              </w:rPr>
              <w:t>评价标准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6DB8D">
            <w:pPr>
              <w:widowControl/>
              <w:jc w:val="center"/>
              <w:textAlignment w:val="center"/>
              <w:rPr>
                <w:rFonts w:ascii="宋体" w:hAnsi="宋体" w:eastAsia="宋体" w:cs="宋体"/>
                <w:b/>
                <w:bCs/>
                <w:sz w:val="22"/>
              </w:rPr>
            </w:pPr>
            <w:r>
              <w:rPr>
                <w:rFonts w:hint="eastAsia" w:ascii="宋体" w:hAnsi="宋体" w:eastAsia="宋体" w:cs="宋体"/>
                <w:b/>
                <w:bCs/>
                <w:kern w:val="0"/>
                <w:sz w:val="22"/>
              </w:rPr>
              <w:t>计算公式</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37F62">
            <w:pPr>
              <w:widowControl/>
              <w:jc w:val="center"/>
              <w:textAlignment w:val="center"/>
              <w:rPr>
                <w:rFonts w:ascii="宋体" w:hAnsi="宋体" w:eastAsia="宋体" w:cs="宋体"/>
                <w:b/>
                <w:bCs/>
                <w:sz w:val="22"/>
              </w:rPr>
            </w:pPr>
            <w:r>
              <w:rPr>
                <w:rFonts w:hint="eastAsia" w:ascii="宋体" w:hAnsi="宋体" w:eastAsia="宋体" w:cs="宋体"/>
                <w:b/>
                <w:bCs/>
                <w:kern w:val="0"/>
                <w:sz w:val="22"/>
              </w:rPr>
              <w:t>得分限额</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53519">
            <w:pPr>
              <w:widowControl/>
              <w:jc w:val="center"/>
              <w:textAlignment w:val="center"/>
              <w:rPr>
                <w:rFonts w:ascii="宋体" w:hAnsi="宋体" w:eastAsia="宋体" w:cs="宋体"/>
                <w:b/>
                <w:bCs/>
                <w:sz w:val="22"/>
              </w:rPr>
            </w:pPr>
            <w:r>
              <w:rPr>
                <w:rFonts w:hint="eastAsia" w:ascii="宋体" w:hAnsi="宋体" w:eastAsia="宋体" w:cs="宋体"/>
                <w:b/>
                <w:bCs/>
                <w:kern w:val="0"/>
                <w:sz w:val="22"/>
              </w:rPr>
              <w:t>扣分限额</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DF33F">
            <w:pPr>
              <w:widowControl/>
              <w:jc w:val="center"/>
              <w:textAlignment w:val="center"/>
              <w:rPr>
                <w:rFonts w:ascii="宋体" w:hAnsi="宋体" w:eastAsia="宋体" w:cs="宋体"/>
                <w:b/>
                <w:bCs/>
                <w:sz w:val="22"/>
              </w:rPr>
            </w:pPr>
            <w:r>
              <w:rPr>
                <w:rFonts w:hint="eastAsia" w:ascii="宋体" w:hAnsi="宋体" w:eastAsia="宋体" w:cs="宋体"/>
                <w:b/>
                <w:bCs/>
                <w:kern w:val="0"/>
                <w:sz w:val="22"/>
              </w:rPr>
              <w:t>说明</w:t>
            </w:r>
          </w:p>
        </w:tc>
      </w:tr>
      <w:tr w14:paraId="5D8B3912">
        <w:tblPrEx>
          <w:shd w:val="clear" w:color="auto" w:fill="FFFFFF" w:themeFill="background1"/>
          <w:tblCellMar>
            <w:top w:w="0" w:type="dxa"/>
            <w:left w:w="108" w:type="dxa"/>
            <w:bottom w:w="0" w:type="dxa"/>
            <w:right w:w="108" w:type="dxa"/>
          </w:tblCellMar>
        </w:tblPrEx>
        <w:trPr>
          <w:trHeight w:val="744" w:hRule="atLeast"/>
        </w:trPr>
        <w:tc>
          <w:tcPr>
            <w:tcW w:w="1135" w:type="dxa"/>
            <w:vMerge w:val="restart"/>
            <w:tcBorders>
              <w:top w:val="single" w:color="auto" w:sz="4" w:space="0"/>
              <w:left w:val="single" w:color="000000" w:sz="4" w:space="0"/>
              <w:right w:val="single" w:color="000000" w:sz="4" w:space="0"/>
            </w:tcBorders>
            <w:shd w:val="clear" w:color="auto" w:fill="FFFFFF" w:themeFill="background1"/>
            <w:vAlign w:val="center"/>
          </w:tcPr>
          <w:p w14:paraId="7E49622D">
            <w:pPr>
              <w:jc w:val="center"/>
              <w:rPr>
                <w:rFonts w:ascii="宋体" w:hAnsi="宋体" w:eastAsia="宋体" w:cs="宋体"/>
                <w:sz w:val="20"/>
                <w:szCs w:val="20"/>
              </w:rPr>
            </w:pPr>
            <w:r>
              <w:rPr>
                <w:rFonts w:hint="eastAsia" w:ascii="宋体" w:hAnsi="宋体" w:eastAsia="宋体" w:cs="宋体"/>
                <w:kern w:val="0"/>
                <w:sz w:val="20"/>
                <w:szCs w:val="20"/>
              </w:rPr>
              <w:t>1.基本   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（30分）</w:t>
            </w:r>
          </w:p>
        </w:tc>
        <w:tc>
          <w:tcPr>
            <w:tcW w:w="1134" w:type="dxa"/>
            <w:vMerge w:val="restart"/>
            <w:tcBorders>
              <w:top w:val="single" w:color="000000" w:sz="4" w:space="0"/>
              <w:left w:val="single" w:color="000000" w:sz="4" w:space="0"/>
              <w:right w:val="single" w:color="000000" w:sz="4" w:space="0"/>
            </w:tcBorders>
            <w:shd w:val="clear" w:color="auto" w:fill="FFFFFF" w:themeFill="background1"/>
            <w:vAlign w:val="center"/>
          </w:tcPr>
          <w:p w14:paraId="3D10451D">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会员情况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（3分）</w:t>
            </w:r>
          </w:p>
        </w:tc>
        <w:tc>
          <w:tcPr>
            <w:tcW w:w="1418" w:type="dxa"/>
            <w:tcBorders>
              <w:top w:val="single" w:color="000000" w:sz="4" w:space="0"/>
              <w:left w:val="single" w:color="000000" w:sz="4" w:space="0"/>
              <w:right w:val="single" w:color="000000" w:sz="4" w:space="0"/>
            </w:tcBorders>
            <w:shd w:val="clear" w:color="auto" w:fill="FFFFFF" w:themeFill="background1"/>
            <w:vAlign w:val="center"/>
          </w:tcPr>
          <w:p w14:paraId="1B1C0D06">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单位会员</w:t>
            </w:r>
          </w:p>
        </w:tc>
        <w:tc>
          <w:tcPr>
            <w:tcW w:w="3118" w:type="dxa"/>
            <w:tcBorders>
              <w:top w:val="single" w:color="000000" w:sz="4" w:space="0"/>
              <w:left w:val="single" w:color="000000" w:sz="4" w:space="0"/>
              <w:right w:val="single" w:color="000000" w:sz="4" w:space="0"/>
            </w:tcBorders>
            <w:shd w:val="clear" w:color="auto" w:fill="FFFFFF" w:themeFill="background1"/>
            <w:vAlign w:val="center"/>
          </w:tcPr>
          <w:p w14:paraId="0C75C2BA">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企业是研究会有效单位会员</w:t>
            </w:r>
          </w:p>
        </w:tc>
        <w:tc>
          <w:tcPr>
            <w:tcW w:w="1276" w:type="dxa"/>
            <w:tcBorders>
              <w:top w:val="single" w:color="000000" w:sz="4" w:space="0"/>
              <w:left w:val="single" w:color="000000" w:sz="4" w:space="0"/>
              <w:right w:val="single" w:color="000000" w:sz="4" w:space="0"/>
            </w:tcBorders>
            <w:shd w:val="clear" w:color="auto" w:fill="FFFFFF" w:themeFill="background1"/>
            <w:vAlign w:val="center"/>
          </w:tcPr>
          <w:p w14:paraId="358E3EBA">
            <w:pPr>
              <w:widowControl/>
              <w:jc w:val="center"/>
              <w:textAlignment w:val="center"/>
              <w:rPr>
                <w:rFonts w:ascii="宋体" w:hAnsi="宋体" w:eastAsia="宋体" w:cs="宋体"/>
                <w:kern w:val="0"/>
                <w:sz w:val="20"/>
                <w:szCs w:val="20"/>
              </w:rPr>
            </w:pPr>
          </w:p>
        </w:tc>
        <w:tc>
          <w:tcPr>
            <w:tcW w:w="709" w:type="dxa"/>
            <w:tcBorders>
              <w:top w:val="single" w:color="000000" w:sz="4" w:space="0"/>
              <w:left w:val="single" w:color="000000" w:sz="4" w:space="0"/>
              <w:right w:val="single" w:color="000000" w:sz="4" w:space="0"/>
            </w:tcBorders>
            <w:shd w:val="clear" w:color="auto" w:fill="FFFFFF" w:themeFill="background1"/>
            <w:vAlign w:val="center"/>
          </w:tcPr>
          <w:p w14:paraId="7CBB0933">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right w:val="single" w:color="000000" w:sz="4" w:space="0"/>
            </w:tcBorders>
            <w:shd w:val="clear" w:color="auto" w:fill="FFFFFF" w:themeFill="background1"/>
            <w:vAlign w:val="center"/>
          </w:tcPr>
          <w:p w14:paraId="3851187E">
            <w:pPr>
              <w:jc w:val="center"/>
              <w:rPr>
                <w:rFonts w:ascii="宋体" w:hAnsi="宋体" w:eastAsia="宋体" w:cs="宋体"/>
                <w:sz w:val="20"/>
                <w:szCs w:val="20"/>
              </w:rPr>
            </w:pPr>
          </w:p>
        </w:tc>
        <w:tc>
          <w:tcPr>
            <w:tcW w:w="5387" w:type="dxa"/>
            <w:tcBorders>
              <w:top w:val="single" w:color="000000" w:sz="4" w:space="0"/>
              <w:left w:val="single" w:color="000000" w:sz="4" w:space="0"/>
              <w:right w:val="single" w:color="000000" w:sz="4" w:space="0"/>
            </w:tcBorders>
            <w:shd w:val="clear" w:color="auto" w:fill="FFFFFF" w:themeFill="background1"/>
            <w:vAlign w:val="center"/>
          </w:tcPr>
          <w:p w14:paraId="2E3D3249">
            <w:pPr>
              <w:widowControl/>
              <w:jc w:val="left"/>
              <w:textAlignment w:val="center"/>
              <w:rPr>
                <w:rFonts w:ascii="宋体" w:hAnsi="宋体" w:eastAsia="宋体" w:cs="宋体"/>
                <w:kern w:val="0"/>
                <w:sz w:val="20"/>
                <w:szCs w:val="20"/>
              </w:rPr>
            </w:pPr>
          </w:p>
        </w:tc>
      </w:tr>
      <w:tr w14:paraId="0850A32A">
        <w:tblPrEx>
          <w:shd w:val="clear" w:color="auto" w:fill="FFFFFF" w:themeFill="background1"/>
          <w:tblCellMar>
            <w:top w:w="0" w:type="dxa"/>
            <w:left w:w="108" w:type="dxa"/>
            <w:bottom w:w="0" w:type="dxa"/>
            <w:right w:w="108" w:type="dxa"/>
          </w:tblCellMar>
        </w:tblPrEx>
        <w:trPr>
          <w:trHeight w:val="886" w:hRule="atLeast"/>
        </w:trPr>
        <w:tc>
          <w:tcPr>
            <w:tcW w:w="1135" w:type="dxa"/>
            <w:vMerge w:val="continue"/>
            <w:tcBorders>
              <w:left w:val="single" w:color="000000" w:sz="4" w:space="0"/>
              <w:right w:val="single" w:color="000000" w:sz="4" w:space="0"/>
            </w:tcBorders>
            <w:shd w:val="clear" w:color="auto" w:fill="FFFFFF" w:themeFill="background1"/>
            <w:vAlign w:val="center"/>
          </w:tcPr>
          <w:p w14:paraId="0A4448E1">
            <w:pPr>
              <w:jc w:val="center"/>
              <w:rPr>
                <w:rFonts w:ascii="宋体" w:hAnsi="宋体" w:eastAsia="宋体" w:cs="宋体"/>
                <w:sz w:val="20"/>
                <w:szCs w:val="20"/>
              </w:rPr>
            </w:pPr>
          </w:p>
        </w:tc>
        <w:tc>
          <w:tcPr>
            <w:tcW w:w="1134"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67F75A89">
            <w:pPr>
              <w:widowControl/>
              <w:jc w:val="center"/>
              <w:textAlignment w:val="center"/>
              <w:rPr>
                <w:rFonts w:ascii="宋体" w:hAnsi="宋体" w:eastAsia="宋体" w:cs="宋体"/>
                <w:kern w:val="0"/>
                <w:sz w:val="20"/>
                <w:szCs w:val="20"/>
              </w:rPr>
            </w:pPr>
          </w:p>
        </w:tc>
        <w:tc>
          <w:tcPr>
            <w:tcW w:w="1418" w:type="dxa"/>
            <w:tcBorders>
              <w:top w:val="single" w:color="000000" w:sz="4" w:space="0"/>
              <w:left w:val="single" w:color="000000" w:sz="4" w:space="0"/>
              <w:right w:val="single" w:color="000000" w:sz="4" w:space="0"/>
            </w:tcBorders>
            <w:shd w:val="clear" w:color="auto" w:fill="FFFFFF" w:themeFill="background1"/>
            <w:vAlign w:val="center"/>
          </w:tcPr>
          <w:p w14:paraId="35CD723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1.3.2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个人会员</w:t>
            </w:r>
          </w:p>
        </w:tc>
        <w:tc>
          <w:tcPr>
            <w:tcW w:w="3118" w:type="dxa"/>
            <w:tcBorders>
              <w:top w:val="single" w:color="000000" w:sz="4" w:space="0"/>
              <w:left w:val="single" w:color="000000" w:sz="4" w:space="0"/>
              <w:right w:val="single" w:color="000000" w:sz="4" w:space="0"/>
            </w:tcBorders>
            <w:shd w:val="clear" w:color="auto" w:fill="FFFFFF" w:themeFill="background1"/>
            <w:vAlign w:val="center"/>
          </w:tcPr>
          <w:p w14:paraId="5B64BC9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企业有研究会造价个人会员的，每1名得0.2分</w:t>
            </w:r>
          </w:p>
        </w:tc>
        <w:tc>
          <w:tcPr>
            <w:tcW w:w="1276" w:type="dxa"/>
            <w:tcBorders>
              <w:top w:val="single" w:color="000000" w:sz="4" w:space="0"/>
              <w:left w:val="single" w:color="000000" w:sz="4" w:space="0"/>
              <w:right w:val="single" w:color="000000" w:sz="4" w:space="0"/>
            </w:tcBorders>
            <w:shd w:val="clear" w:color="auto" w:fill="FFFFFF" w:themeFill="background1"/>
            <w:vAlign w:val="center"/>
          </w:tcPr>
          <w:p w14:paraId="0B278F8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0.2*X</w:t>
            </w:r>
          </w:p>
        </w:tc>
        <w:tc>
          <w:tcPr>
            <w:tcW w:w="709" w:type="dxa"/>
            <w:tcBorders>
              <w:top w:val="single" w:color="000000" w:sz="4" w:space="0"/>
              <w:left w:val="single" w:color="000000" w:sz="4" w:space="0"/>
              <w:right w:val="single" w:color="000000" w:sz="4" w:space="0"/>
            </w:tcBorders>
            <w:shd w:val="clear" w:color="auto" w:fill="FFFFFF" w:themeFill="background1"/>
            <w:vAlign w:val="center"/>
          </w:tcPr>
          <w:p w14:paraId="22F1FB8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708" w:type="dxa"/>
            <w:tcBorders>
              <w:top w:val="single" w:color="000000" w:sz="4" w:space="0"/>
              <w:left w:val="single" w:color="000000" w:sz="4" w:space="0"/>
              <w:right w:val="single" w:color="000000" w:sz="4" w:space="0"/>
            </w:tcBorders>
            <w:shd w:val="clear" w:color="auto" w:fill="FFFFFF" w:themeFill="background1"/>
            <w:vAlign w:val="center"/>
          </w:tcPr>
          <w:p w14:paraId="258B1752">
            <w:pPr>
              <w:jc w:val="center"/>
              <w:rPr>
                <w:rFonts w:ascii="宋体" w:hAnsi="宋体" w:eastAsia="宋体" w:cs="宋体"/>
                <w:sz w:val="20"/>
                <w:szCs w:val="20"/>
              </w:rPr>
            </w:pPr>
          </w:p>
        </w:tc>
        <w:tc>
          <w:tcPr>
            <w:tcW w:w="5387" w:type="dxa"/>
            <w:tcBorders>
              <w:top w:val="single" w:color="000000" w:sz="4" w:space="0"/>
              <w:left w:val="single" w:color="000000" w:sz="4" w:space="0"/>
              <w:right w:val="single" w:color="000000" w:sz="4" w:space="0"/>
            </w:tcBorders>
            <w:shd w:val="clear" w:color="auto" w:fill="FFFFFF" w:themeFill="background1"/>
            <w:vAlign w:val="center"/>
          </w:tcPr>
          <w:p w14:paraId="6D762263">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“X”为研究会造价个人会员数量。</w:t>
            </w:r>
          </w:p>
          <w:p w14:paraId="5E59709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研究会造价个人会员指通过向研究会申请成为研究会造价个人会员。</w:t>
            </w:r>
          </w:p>
        </w:tc>
      </w:tr>
      <w:tr w14:paraId="09685471">
        <w:tblPrEx>
          <w:shd w:val="clear" w:color="auto" w:fill="FFFFFF" w:themeFill="background1"/>
          <w:tblCellMar>
            <w:top w:w="0" w:type="dxa"/>
            <w:left w:w="108" w:type="dxa"/>
            <w:bottom w:w="0" w:type="dxa"/>
            <w:right w:w="108" w:type="dxa"/>
          </w:tblCellMar>
        </w:tblPrEx>
        <w:trPr>
          <w:trHeight w:val="1311" w:hRule="atLeast"/>
        </w:trPr>
        <w:tc>
          <w:tcPr>
            <w:tcW w:w="1135" w:type="dxa"/>
            <w:vMerge w:val="continue"/>
            <w:tcBorders>
              <w:left w:val="single" w:color="000000" w:sz="4" w:space="0"/>
              <w:right w:val="single" w:color="000000" w:sz="4" w:space="0"/>
            </w:tcBorders>
            <w:shd w:val="clear" w:color="auto" w:fill="FFFFFF" w:themeFill="background1"/>
            <w:vAlign w:val="center"/>
          </w:tcPr>
          <w:p w14:paraId="6042C09D">
            <w:pPr>
              <w:jc w:val="center"/>
              <w:rPr>
                <w:rFonts w:ascii="宋体" w:hAnsi="宋体" w:eastAsia="宋体" w:cs="宋体"/>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7A43BB">
            <w:pPr>
              <w:widowControl/>
              <w:jc w:val="center"/>
              <w:textAlignment w:val="center"/>
              <w:rPr>
                <w:rFonts w:ascii="宋体" w:hAnsi="宋体" w:eastAsia="宋体" w:cs="宋体"/>
                <w:sz w:val="20"/>
                <w:szCs w:val="20"/>
              </w:rPr>
            </w:pPr>
            <w:r>
              <w:rPr>
                <w:rFonts w:hint="eastAsia" w:ascii="宋体" w:hAnsi="宋体" w:eastAsia="宋体" w:cs="宋体"/>
                <w:sz w:val="20"/>
                <w:szCs w:val="20"/>
              </w:rPr>
              <w:t>1.4</w:t>
            </w:r>
            <w:r>
              <w:rPr>
                <w:rFonts w:hint="eastAsia" w:ascii="宋体" w:hAnsi="宋体" w:eastAsia="宋体" w:cs="宋体"/>
                <w:kern w:val="0"/>
                <w:sz w:val="20"/>
                <w:szCs w:val="20"/>
              </w:rPr>
              <w:br w:type="textWrapping"/>
            </w:r>
            <w:r>
              <w:rPr>
                <w:rFonts w:hint="eastAsia" w:ascii="宋体" w:hAnsi="宋体" w:eastAsia="宋体" w:cs="宋体"/>
                <w:sz w:val="20"/>
                <w:szCs w:val="20"/>
              </w:rPr>
              <w:t>行业自律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（1分）</w:t>
            </w:r>
          </w:p>
        </w:tc>
        <w:tc>
          <w:tcPr>
            <w:tcW w:w="1418" w:type="dxa"/>
            <w:tcBorders>
              <w:top w:val="single" w:color="000000" w:sz="4" w:space="0"/>
              <w:left w:val="single" w:color="000000" w:sz="4" w:space="0"/>
              <w:right w:val="single" w:color="000000" w:sz="4" w:space="0"/>
            </w:tcBorders>
            <w:shd w:val="clear" w:color="auto" w:fill="FFFFFF" w:themeFill="background1"/>
            <w:vAlign w:val="center"/>
          </w:tcPr>
          <w:p w14:paraId="20B3F32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1.4.1</w:t>
            </w:r>
            <w:r>
              <w:rPr>
                <w:rFonts w:hint="eastAsia" w:ascii="宋体" w:hAnsi="宋体" w:eastAsia="宋体" w:cs="宋体"/>
                <w:kern w:val="0"/>
                <w:sz w:val="20"/>
                <w:szCs w:val="20"/>
              </w:rPr>
              <w:br w:type="textWrapping"/>
            </w:r>
            <w:r>
              <w:rPr>
                <w:rFonts w:hint="eastAsia" w:ascii="宋体" w:hAnsi="宋体" w:eastAsia="宋体" w:cs="宋体"/>
                <w:sz w:val="20"/>
                <w:szCs w:val="20"/>
              </w:rPr>
              <w:t>行业自律</w:t>
            </w:r>
          </w:p>
        </w:tc>
        <w:tc>
          <w:tcPr>
            <w:tcW w:w="3118" w:type="dxa"/>
            <w:tcBorders>
              <w:top w:val="single" w:color="000000" w:sz="4" w:space="0"/>
              <w:left w:val="single" w:color="000000" w:sz="4" w:space="0"/>
              <w:right w:val="single" w:color="000000" w:sz="4" w:space="0"/>
            </w:tcBorders>
            <w:shd w:val="clear" w:color="auto" w:fill="FFFFFF" w:themeFill="background1"/>
            <w:vAlign w:val="center"/>
          </w:tcPr>
          <w:p w14:paraId="71B4F52F">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企业积极签署研究会印发的《工程造价咨询单位会员及个人会员从业自律公约》，自愿履行公约内容，规范执业行为，维护市场秩序。</w:t>
            </w:r>
          </w:p>
        </w:tc>
        <w:tc>
          <w:tcPr>
            <w:tcW w:w="1276" w:type="dxa"/>
            <w:tcBorders>
              <w:top w:val="single" w:color="000000" w:sz="4" w:space="0"/>
              <w:left w:val="single" w:color="000000" w:sz="4" w:space="0"/>
              <w:right w:val="single" w:color="000000" w:sz="4" w:space="0"/>
            </w:tcBorders>
            <w:shd w:val="clear" w:color="auto" w:fill="FFFFFF" w:themeFill="background1"/>
            <w:vAlign w:val="center"/>
          </w:tcPr>
          <w:p w14:paraId="71088B46">
            <w:pPr>
              <w:widowControl/>
              <w:jc w:val="center"/>
              <w:textAlignment w:val="center"/>
              <w:rPr>
                <w:rFonts w:ascii="宋体" w:hAnsi="宋体" w:eastAsia="宋体" w:cs="宋体"/>
                <w:sz w:val="20"/>
                <w:szCs w:val="20"/>
              </w:rPr>
            </w:pPr>
          </w:p>
        </w:tc>
        <w:tc>
          <w:tcPr>
            <w:tcW w:w="709" w:type="dxa"/>
            <w:tcBorders>
              <w:top w:val="single" w:color="000000" w:sz="4" w:space="0"/>
              <w:left w:val="single" w:color="000000" w:sz="4" w:space="0"/>
              <w:right w:val="single" w:color="000000" w:sz="4" w:space="0"/>
            </w:tcBorders>
            <w:shd w:val="clear" w:color="auto" w:fill="FFFFFF" w:themeFill="background1"/>
            <w:vAlign w:val="center"/>
          </w:tcPr>
          <w:p w14:paraId="78021F8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708" w:type="dxa"/>
            <w:tcBorders>
              <w:top w:val="single" w:color="000000" w:sz="4" w:space="0"/>
              <w:left w:val="single" w:color="000000" w:sz="4" w:space="0"/>
              <w:right w:val="single" w:color="000000" w:sz="4" w:space="0"/>
            </w:tcBorders>
            <w:shd w:val="clear" w:color="auto" w:fill="FFFFFF" w:themeFill="background1"/>
            <w:vAlign w:val="center"/>
          </w:tcPr>
          <w:p w14:paraId="5766E929">
            <w:pPr>
              <w:jc w:val="center"/>
              <w:rPr>
                <w:rFonts w:ascii="宋体" w:hAnsi="宋体" w:eastAsia="宋体" w:cs="宋体"/>
                <w:sz w:val="20"/>
                <w:szCs w:val="20"/>
              </w:rPr>
            </w:pPr>
          </w:p>
        </w:tc>
        <w:tc>
          <w:tcPr>
            <w:tcW w:w="5387" w:type="dxa"/>
            <w:tcBorders>
              <w:top w:val="single" w:color="000000" w:sz="4" w:space="0"/>
              <w:left w:val="single" w:color="000000" w:sz="4" w:space="0"/>
              <w:right w:val="single" w:color="000000" w:sz="4" w:space="0"/>
            </w:tcBorders>
            <w:shd w:val="clear" w:color="auto" w:fill="FFFFFF" w:themeFill="background1"/>
            <w:vAlign w:val="center"/>
          </w:tcPr>
          <w:p w14:paraId="2846EE0A">
            <w:pPr>
              <w:widowControl/>
              <w:jc w:val="left"/>
              <w:textAlignment w:val="center"/>
              <w:rPr>
                <w:rFonts w:ascii="宋体" w:hAnsi="宋体" w:eastAsia="宋体" w:cs="宋体"/>
                <w:sz w:val="20"/>
                <w:szCs w:val="20"/>
              </w:rPr>
            </w:pPr>
          </w:p>
        </w:tc>
      </w:tr>
      <w:tr w14:paraId="47716D6A">
        <w:tblPrEx>
          <w:tblCellMar>
            <w:top w:w="0" w:type="dxa"/>
            <w:left w:w="108" w:type="dxa"/>
            <w:bottom w:w="0" w:type="dxa"/>
            <w:right w:w="108" w:type="dxa"/>
          </w:tblCellMar>
        </w:tblPrEx>
        <w:trPr>
          <w:trHeight w:val="815" w:hRule="atLeast"/>
        </w:trPr>
        <w:tc>
          <w:tcPr>
            <w:tcW w:w="1135" w:type="dxa"/>
            <w:vMerge w:val="restart"/>
            <w:tcBorders>
              <w:top w:val="single" w:color="auto" w:sz="4" w:space="0"/>
              <w:left w:val="single" w:color="000000" w:sz="4" w:space="0"/>
              <w:right w:val="single" w:color="000000" w:sz="4" w:space="0"/>
            </w:tcBorders>
            <w:shd w:val="clear" w:color="auto" w:fill="FFFFFF" w:themeFill="background1"/>
            <w:vAlign w:val="center"/>
          </w:tcPr>
          <w:p w14:paraId="688ED45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2.经营    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（60分）</w:t>
            </w:r>
          </w:p>
          <w:p w14:paraId="2C4C65BB">
            <w:pPr>
              <w:jc w:val="center"/>
              <w:textAlignment w:val="center"/>
              <w:rPr>
                <w:rFonts w:ascii="宋体" w:hAnsi="宋体" w:eastAsia="宋体" w:cs="宋体"/>
                <w:sz w:val="20"/>
                <w:szCs w:val="20"/>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4A6B4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经营能力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（24分）</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57960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2.1.1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营业收入</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ABA096">
            <w:pPr>
              <w:widowControl/>
              <w:jc w:val="left"/>
              <w:textAlignment w:val="center"/>
              <w:rPr>
                <w:rFonts w:ascii="宋体" w:hAnsi="宋体" w:eastAsia="宋体" w:cs="宋体"/>
                <w:sz w:val="20"/>
                <w:szCs w:val="20"/>
              </w:rPr>
            </w:pPr>
            <w:r>
              <w:rPr>
                <w:rStyle w:val="18"/>
                <w:rFonts w:hint="default"/>
                <w:color w:val="auto"/>
              </w:rPr>
              <w:t>按企业营业收入区间评分</w:t>
            </w:r>
            <w:r>
              <w:rPr>
                <w:rStyle w:val="16"/>
                <w:rFonts w:hint="default"/>
                <w:color w:val="auto"/>
              </w:rPr>
              <w:t>，详见附件2《工程造价咨询企业营业收入及造价咨询业务收入评分表》</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C60DDE">
            <w:pPr>
              <w:widowControl/>
              <w:jc w:val="center"/>
              <w:textAlignment w:val="center"/>
              <w:rPr>
                <w:rFonts w:ascii="宋体" w:hAnsi="宋体" w:eastAsia="宋体" w:cs="宋体"/>
                <w:sz w:val="20"/>
                <w:szCs w:val="20"/>
              </w:rPr>
            </w:pPr>
            <w:r>
              <w:rPr>
                <w:rStyle w:val="16"/>
                <w:rFonts w:hint="default"/>
                <w:color w:val="auto"/>
              </w:rPr>
              <w:t>0</w:t>
            </w:r>
            <w:r>
              <w:rPr>
                <w:rStyle w:val="19"/>
                <w:color w:val="auto"/>
              </w:rPr>
              <w:t>~</w:t>
            </w:r>
            <w:r>
              <w:rPr>
                <w:rStyle w:val="16"/>
                <w:rFonts w:hint="default"/>
                <w:color w:val="auto"/>
              </w:rPr>
              <w:t>6</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1780E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6</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97CB7">
            <w:pPr>
              <w:jc w:val="center"/>
              <w:rPr>
                <w:rFonts w:ascii="宋体" w:hAnsi="宋体" w:eastAsia="宋体" w:cs="宋体"/>
                <w:sz w:val="20"/>
                <w:szCs w:val="20"/>
              </w:rPr>
            </w:pPr>
          </w:p>
        </w:tc>
        <w:tc>
          <w:tcPr>
            <w:tcW w:w="53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DB2D4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1.营业收入=工程造价咨询业务收入+其它业务收入；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2.其它业务收入=招标代理业务收入+项目管理业务收入+工程咨询业务收入；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3.均采用上年度的年收入。</w:t>
            </w:r>
          </w:p>
        </w:tc>
      </w:tr>
      <w:tr w14:paraId="7AB477D3">
        <w:tblPrEx>
          <w:shd w:val="clear" w:color="auto" w:fill="FFFFFF" w:themeFill="background1"/>
          <w:tblCellMar>
            <w:top w:w="0" w:type="dxa"/>
            <w:left w:w="108" w:type="dxa"/>
            <w:bottom w:w="0" w:type="dxa"/>
            <w:right w:w="108" w:type="dxa"/>
          </w:tblCellMar>
        </w:tblPrEx>
        <w:trPr>
          <w:trHeight w:val="1044" w:hRule="atLeast"/>
        </w:trPr>
        <w:tc>
          <w:tcPr>
            <w:tcW w:w="1135" w:type="dxa"/>
            <w:vMerge w:val="continue"/>
            <w:tcBorders>
              <w:left w:val="single" w:color="000000" w:sz="4" w:space="0"/>
              <w:right w:val="single" w:color="000000" w:sz="4" w:space="0"/>
            </w:tcBorders>
            <w:shd w:val="clear" w:color="auto" w:fill="FFFFFF" w:themeFill="background1"/>
            <w:vAlign w:val="center"/>
          </w:tcPr>
          <w:p w14:paraId="147B2AD0">
            <w:pPr>
              <w:jc w:val="center"/>
              <w:textAlignment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39A9B0">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BA730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2.1.2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工程造价咨询业务收入</w:t>
            </w: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B4E81">
            <w:pPr>
              <w:jc w:val="left"/>
              <w:rPr>
                <w:rFonts w:ascii="宋体" w:hAnsi="宋体" w:eastAsia="宋体" w:cs="宋体"/>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C35EAC">
            <w:pPr>
              <w:widowControl/>
              <w:jc w:val="center"/>
              <w:textAlignment w:val="center"/>
              <w:rPr>
                <w:rFonts w:ascii="宋体" w:hAnsi="宋体" w:eastAsia="宋体" w:cs="宋体"/>
                <w:sz w:val="20"/>
                <w:szCs w:val="20"/>
              </w:rPr>
            </w:pPr>
            <w:r>
              <w:rPr>
                <w:rStyle w:val="16"/>
                <w:rFonts w:hint="default"/>
                <w:color w:val="auto"/>
              </w:rPr>
              <w:t>0</w:t>
            </w:r>
            <w:r>
              <w:rPr>
                <w:rStyle w:val="19"/>
                <w:color w:val="auto"/>
              </w:rPr>
              <w:t>~</w:t>
            </w:r>
            <w:r>
              <w:rPr>
                <w:rStyle w:val="16"/>
                <w:rFonts w:hint="default"/>
                <w:color w:val="auto"/>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E30F0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FB2E1">
            <w:pPr>
              <w:jc w:val="center"/>
              <w:rPr>
                <w:rFonts w:ascii="宋体" w:hAnsi="宋体" w:eastAsia="宋体" w:cs="宋体"/>
                <w:sz w:val="20"/>
                <w:szCs w:val="20"/>
              </w:rPr>
            </w:pP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A64246">
            <w:pPr>
              <w:jc w:val="left"/>
              <w:rPr>
                <w:rFonts w:ascii="宋体" w:hAnsi="宋体" w:eastAsia="宋体" w:cs="宋体"/>
                <w:sz w:val="20"/>
                <w:szCs w:val="20"/>
              </w:rPr>
            </w:pPr>
          </w:p>
        </w:tc>
      </w:tr>
      <w:tr w14:paraId="309B5936">
        <w:tblPrEx>
          <w:tblCellMar>
            <w:top w:w="0" w:type="dxa"/>
            <w:left w:w="108" w:type="dxa"/>
            <w:bottom w:w="0" w:type="dxa"/>
            <w:right w:w="108" w:type="dxa"/>
          </w:tblCellMar>
        </w:tblPrEx>
        <w:trPr>
          <w:trHeight w:val="1160" w:hRule="atLeast"/>
        </w:trPr>
        <w:tc>
          <w:tcPr>
            <w:tcW w:w="1135" w:type="dxa"/>
            <w:vMerge w:val="continue"/>
            <w:tcBorders>
              <w:left w:val="single" w:color="000000" w:sz="4" w:space="0"/>
              <w:right w:val="single" w:color="000000" w:sz="4" w:space="0"/>
            </w:tcBorders>
            <w:shd w:val="clear" w:color="auto" w:fill="FFFFFF" w:themeFill="background1"/>
            <w:vAlign w:val="center"/>
          </w:tcPr>
          <w:p w14:paraId="3413ED2F">
            <w:pPr>
              <w:jc w:val="center"/>
              <w:textAlignment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F163B">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EDA1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2.1.3</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全员劳动生产率   </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0A479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企业全员劳动生产率每5万元得0.5分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4E7D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0.5*X/5</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1F985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6225D">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2A4FE3">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1.“X”指企业全员劳动生产率；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2.全员劳动生产率=上年营业收入合计/企业员工总人数。</w:t>
            </w:r>
          </w:p>
        </w:tc>
      </w:tr>
      <w:tr w14:paraId="316114DD">
        <w:tblPrEx>
          <w:shd w:val="clear" w:color="auto" w:fill="FFFFFF" w:themeFill="background1"/>
          <w:tblCellMar>
            <w:top w:w="0" w:type="dxa"/>
            <w:left w:w="108" w:type="dxa"/>
            <w:bottom w:w="0" w:type="dxa"/>
            <w:right w:w="108" w:type="dxa"/>
          </w:tblCellMar>
        </w:tblPrEx>
        <w:trPr>
          <w:trHeight w:val="1257" w:hRule="atLeast"/>
        </w:trPr>
        <w:tc>
          <w:tcPr>
            <w:tcW w:w="1135" w:type="dxa"/>
            <w:vMerge w:val="continue"/>
            <w:tcBorders>
              <w:left w:val="single" w:color="000000" w:sz="4" w:space="0"/>
              <w:bottom w:val="single" w:color="auto" w:sz="4" w:space="0"/>
              <w:right w:val="single" w:color="000000" w:sz="4" w:space="0"/>
            </w:tcBorders>
            <w:shd w:val="clear" w:color="auto" w:fill="FFFFFF" w:themeFill="background1"/>
            <w:vAlign w:val="center"/>
          </w:tcPr>
          <w:p w14:paraId="331FEF14">
            <w:pPr>
              <w:jc w:val="center"/>
              <w:textAlignment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6B2588">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8B0B0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2.1.4</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业务开拓和创新</w:t>
            </w:r>
          </w:p>
        </w:tc>
        <w:tc>
          <w:tcPr>
            <w:tcW w:w="3118" w:type="dxa"/>
            <w:tcBorders>
              <w:top w:val="single" w:color="000000" w:sz="4" w:space="0"/>
              <w:left w:val="single" w:color="000000" w:sz="4" w:space="0"/>
              <w:bottom w:val="single" w:color="000000" w:sz="4" w:space="0"/>
              <w:right w:val="nil"/>
            </w:tcBorders>
            <w:shd w:val="clear" w:color="auto" w:fill="FFFFFF" w:themeFill="background1"/>
            <w:vAlign w:val="center"/>
          </w:tcPr>
          <w:p w14:paraId="470F721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企业承揽境外项目、创新业务，每个项目得1分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047B3A">
            <w:pPr>
              <w:jc w:val="center"/>
              <w:rPr>
                <w:rFonts w:ascii="宋体" w:hAnsi="宋体" w:eastAsia="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6FDF1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3DD87">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9F3719">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企业业务创新：业务范围涉及BIM咨询、PPP咨询、全过程咨询、工程总承包项目咨询等涉及新技术、新领域的。</w:t>
            </w:r>
          </w:p>
          <w:p w14:paraId="372FB72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所报项目需是上一年度已完结项目。</w:t>
            </w:r>
          </w:p>
        </w:tc>
      </w:tr>
      <w:tr w14:paraId="24E21D50">
        <w:tblPrEx>
          <w:shd w:val="clear" w:color="auto" w:fill="FFFFFF" w:themeFill="background1"/>
          <w:tblCellMar>
            <w:top w:w="0" w:type="dxa"/>
            <w:left w:w="108" w:type="dxa"/>
            <w:bottom w:w="0" w:type="dxa"/>
            <w:right w:w="108" w:type="dxa"/>
          </w:tblCellMar>
        </w:tblPrEx>
        <w:trPr>
          <w:trHeight w:val="849" w:hRule="atLeast"/>
        </w:trPr>
        <w:tc>
          <w:tcPr>
            <w:tcW w:w="1135"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003B27D">
            <w:pPr>
              <w:widowControl/>
              <w:jc w:val="center"/>
              <w:textAlignment w:val="center"/>
              <w:rPr>
                <w:rFonts w:ascii="宋体" w:hAnsi="宋体" w:eastAsia="宋体" w:cs="宋体"/>
                <w:b/>
                <w:bCs/>
                <w:sz w:val="22"/>
              </w:rPr>
            </w:pPr>
            <w:r>
              <w:rPr>
                <w:rFonts w:hint="eastAsia" w:ascii="宋体" w:hAnsi="宋体" w:eastAsia="宋体" w:cs="宋体"/>
                <w:b/>
                <w:bCs/>
                <w:kern w:val="0"/>
                <w:sz w:val="22"/>
              </w:rPr>
              <w:t>一级指标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C64FC6">
            <w:pPr>
              <w:widowControl/>
              <w:jc w:val="center"/>
              <w:textAlignment w:val="center"/>
              <w:rPr>
                <w:rFonts w:ascii="宋体" w:hAnsi="宋体" w:eastAsia="宋体" w:cs="宋体"/>
                <w:b/>
                <w:bCs/>
                <w:sz w:val="22"/>
              </w:rPr>
            </w:pPr>
            <w:r>
              <w:rPr>
                <w:rFonts w:hint="eastAsia" w:ascii="宋体" w:hAnsi="宋体" w:eastAsia="宋体" w:cs="宋体"/>
                <w:b/>
                <w:bCs/>
                <w:kern w:val="0"/>
                <w:sz w:val="22"/>
              </w:rPr>
              <w:t>二级指标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7E9E07">
            <w:pPr>
              <w:widowControl/>
              <w:jc w:val="center"/>
              <w:textAlignment w:val="center"/>
              <w:rPr>
                <w:rFonts w:ascii="宋体" w:hAnsi="宋体" w:eastAsia="宋体" w:cs="宋体"/>
                <w:b/>
                <w:bCs/>
                <w:sz w:val="22"/>
              </w:rPr>
            </w:pPr>
            <w:r>
              <w:rPr>
                <w:rFonts w:hint="eastAsia" w:ascii="宋体" w:hAnsi="宋体" w:eastAsia="宋体" w:cs="宋体"/>
                <w:b/>
                <w:bCs/>
                <w:kern w:val="0"/>
                <w:sz w:val="22"/>
              </w:rPr>
              <w:t>三级指标</w:t>
            </w:r>
          </w:p>
        </w:tc>
        <w:tc>
          <w:tcPr>
            <w:tcW w:w="3118" w:type="dxa"/>
            <w:tcBorders>
              <w:top w:val="single" w:color="000000" w:sz="4" w:space="0"/>
              <w:left w:val="single" w:color="000000" w:sz="4" w:space="0"/>
              <w:bottom w:val="single" w:color="000000" w:sz="4" w:space="0"/>
              <w:right w:val="nil"/>
            </w:tcBorders>
            <w:shd w:val="clear" w:color="auto" w:fill="FFFFFF" w:themeFill="background1"/>
            <w:vAlign w:val="center"/>
          </w:tcPr>
          <w:p w14:paraId="1EF04C3E">
            <w:pPr>
              <w:widowControl/>
              <w:jc w:val="center"/>
              <w:textAlignment w:val="center"/>
              <w:rPr>
                <w:rFonts w:ascii="宋体" w:hAnsi="宋体" w:eastAsia="宋体" w:cs="宋体"/>
                <w:b/>
                <w:bCs/>
                <w:sz w:val="22"/>
              </w:rPr>
            </w:pPr>
            <w:r>
              <w:rPr>
                <w:rFonts w:hint="eastAsia" w:ascii="宋体" w:hAnsi="宋体" w:eastAsia="宋体" w:cs="宋体"/>
                <w:b/>
                <w:bCs/>
                <w:kern w:val="0"/>
                <w:sz w:val="22"/>
              </w:rPr>
              <w:t>评价标准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D1A605">
            <w:pPr>
              <w:widowControl/>
              <w:jc w:val="center"/>
              <w:textAlignment w:val="center"/>
              <w:rPr>
                <w:rFonts w:ascii="宋体" w:hAnsi="宋体" w:eastAsia="宋体" w:cs="宋体"/>
                <w:b/>
                <w:bCs/>
                <w:sz w:val="22"/>
              </w:rPr>
            </w:pPr>
            <w:r>
              <w:rPr>
                <w:rFonts w:hint="eastAsia" w:ascii="宋体" w:hAnsi="宋体" w:eastAsia="宋体" w:cs="宋体"/>
                <w:b/>
                <w:bCs/>
                <w:kern w:val="0"/>
                <w:sz w:val="22"/>
              </w:rPr>
              <w:t>计算公式</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467DE3">
            <w:pPr>
              <w:widowControl/>
              <w:jc w:val="center"/>
              <w:textAlignment w:val="center"/>
              <w:rPr>
                <w:rFonts w:ascii="宋体" w:hAnsi="宋体" w:eastAsia="宋体" w:cs="宋体"/>
                <w:b/>
                <w:bCs/>
                <w:sz w:val="22"/>
              </w:rPr>
            </w:pPr>
            <w:r>
              <w:rPr>
                <w:rFonts w:hint="eastAsia" w:ascii="宋体" w:hAnsi="宋体" w:eastAsia="宋体" w:cs="宋体"/>
                <w:b/>
                <w:bCs/>
                <w:kern w:val="0"/>
                <w:sz w:val="22"/>
              </w:rPr>
              <w:t>得分限额</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5589C">
            <w:pPr>
              <w:widowControl/>
              <w:jc w:val="center"/>
              <w:textAlignment w:val="center"/>
              <w:rPr>
                <w:rFonts w:ascii="宋体" w:hAnsi="宋体" w:eastAsia="宋体" w:cs="宋体"/>
                <w:b/>
                <w:bCs/>
                <w:sz w:val="22"/>
              </w:rPr>
            </w:pPr>
            <w:r>
              <w:rPr>
                <w:rFonts w:hint="eastAsia" w:ascii="宋体" w:hAnsi="宋体" w:eastAsia="宋体" w:cs="宋体"/>
                <w:b/>
                <w:bCs/>
                <w:kern w:val="0"/>
                <w:sz w:val="22"/>
              </w:rPr>
              <w:t>扣分限额</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0F34A5">
            <w:pPr>
              <w:widowControl/>
              <w:jc w:val="center"/>
              <w:textAlignment w:val="center"/>
              <w:rPr>
                <w:rFonts w:ascii="宋体" w:hAnsi="宋体" w:eastAsia="宋体" w:cs="宋体"/>
                <w:b/>
                <w:bCs/>
                <w:sz w:val="22"/>
              </w:rPr>
            </w:pPr>
            <w:r>
              <w:rPr>
                <w:rFonts w:hint="eastAsia" w:ascii="宋体" w:hAnsi="宋体" w:eastAsia="宋体" w:cs="宋体"/>
                <w:b/>
                <w:bCs/>
                <w:kern w:val="0"/>
                <w:sz w:val="22"/>
              </w:rPr>
              <w:t>说明</w:t>
            </w:r>
          </w:p>
        </w:tc>
      </w:tr>
      <w:tr w14:paraId="6402BF26">
        <w:tblPrEx>
          <w:tblCellMar>
            <w:top w:w="0" w:type="dxa"/>
            <w:left w:w="108" w:type="dxa"/>
            <w:bottom w:w="0" w:type="dxa"/>
            <w:right w:w="108" w:type="dxa"/>
          </w:tblCellMar>
        </w:tblPrEx>
        <w:trPr>
          <w:trHeight w:val="1397" w:hRule="atLeast"/>
        </w:trPr>
        <w:tc>
          <w:tcPr>
            <w:tcW w:w="1135" w:type="dxa"/>
            <w:vMerge w:val="restart"/>
            <w:tcBorders>
              <w:top w:val="single" w:color="auto" w:sz="4" w:space="0"/>
              <w:left w:val="single" w:color="000000" w:sz="4" w:space="0"/>
              <w:right w:val="single" w:color="000000" w:sz="4" w:space="0"/>
            </w:tcBorders>
            <w:shd w:val="clear" w:color="auto" w:fill="FFFFFF" w:themeFill="background1"/>
            <w:vAlign w:val="center"/>
          </w:tcPr>
          <w:p w14:paraId="62F5DC4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2.经营    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（60分）</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B0F2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管理能力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（9分）</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34FE9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2.2.1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质量管理体系</w:t>
            </w:r>
          </w:p>
        </w:tc>
        <w:tc>
          <w:tcPr>
            <w:tcW w:w="3118" w:type="dxa"/>
            <w:tcBorders>
              <w:top w:val="single" w:color="000000" w:sz="4" w:space="0"/>
              <w:left w:val="single" w:color="000000" w:sz="4" w:space="0"/>
              <w:bottom w:val="single" w:color="000000" w:sz="4" w:space="0"/>
              <w:right w:val="nil"/>
            </w:tcBorders>
            <w:shd w:val="clear" w:color="auto" w:fill="FFFFFF" w:themeFill="background1"/>
            <w:vAlign w:val="center"/>
          </w:tcPr>
          <w:p w14:paraId="6F2FAF36">
            <w:pPr>
              <w:widowControl/>
              <w:jc w:val="left"/>
              <w:textAlignment w:val="center"/>
              <w:rPr>
                <w:rFonts w:ascii="宋体" w:hAnsi="宋体" w:eastAsia="宋体" w:cs="宋体"/>
                <w:sz w:val="20"/>
                <w:szCs w:val="20"/>
              </w:rPr>
            </w:pPr>
            <w:r>
              <w:rPr>
                <w:rStyle w:val="18"/>
                <w:rFonts w:hint="default"/>
                <w:color w:val="auto"/>
              </w:rPr>
              <w:t>企业有职业标准指南或自行编制的咨询业务操作指导规程、范本(模板)或作业指导书，得1</w:t>
            </w:r>
            <w:r>
              <w:rPr>
                <w:rStyle w:val="19"/>
                <w:color w:val="auto"/>
              </w:rPr>
              <w:t>~</w:t>
            </w:r>
            <w:r>
              <w:rPr>
                <w:rStyle w:val="18"/>
                <w:rFonts w:hint="default"/>
                <w:color w:val="auto"/>
              </w:rPr>
              <w:t>2分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A0EE3">
            <w:pPr>
              <w:widowControl/>
              <w:jc w:val="center"/>
              <w:textAlignment w:val="center"/>
              <w:rPr>
                <w:rFonts w:ascii="宋体" w:hAnsi="宋体" w:eastAsia="宋体" w:cs="宋体"/>
                <w:sz w:val="20"/>
                <w:szCs w:val="20"/>
              </w:rPr>
            </w:pPr>
            <w:r>
              <w:rPr>
                <w:rStyle w:val="16"/>
                <w:rFonts w:hint="default"/>
                <w:color w:val="auto"/>
              </w:rPr>
              <w:t>0</w:t>
            </w:r>
            <w:r>
              <w:rPr>
                <w:rStyle w:val="19"/>
                <w:color w:val="auto"/>
              </w:rPr>
              <w:t>~</w:t>
            </w:r>
            <w:r>
              <w:rPr>
                <w:rStyle w:val="16"/>
                <w:rFonts w:hint="default"/>
                <w:color w:val="auto"/>
              </w:rPr>
              <w:t>2</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79AE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5741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B03CE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根据职业标准或指南内容完整、规范、指导作用的程度，加1</w:t>
            </w:r>
            <w:r>
              <w:rPr>
                <w:rStyle w:val="19"/>
                <w:color w:val="auto"/>
              </w:rPr>
              <w:t>~</w:t>
            </w:r>
            <w:r>
              <w:rPr>
                <w:rFonts w:hint="eastAsia" w:ascii="宋体" w:hAnsi="宋体" w:eastAsia="宋体" w:cs="宋体"/>
                <w:kern w:val="0"/>
                <w:sz w:val="20"/>
                <w:szCs w:val="20"/>
              </w:rPr>
              <w:t>2分，没有的扣2分。</w:t>
            </w:r>
          </w:p>
        </w:tc>
      </w:tr>
      <w:tr w14:paraId="528C5B18">
        <w:tblPrEx>
          <w:shd w:val="clear" w:color="auto" w:fill="FFFFFF" w:themeFill="background1"/>
          <w:tblCellMar>
            <w:top w:w="0" w:type="dxa"/>
            <w:left w:w="108" w:type="dxa"/>
            <w:bottom w:w="0" w:type="dxa"/>
            <w:right w:w="108" w:type="dxa"/>
          </w:tblCellMar>
        </w:tblPrEx>
        <w:trPr>
          <w:trHeight w:val="1405" w:hRule="atLeast"/>
        </w:trPr>
        <w:tc>
          <w:tcPr>
            <w:tcW w:w="1135" w:type="dxa"/>
            <w:vMerge w:val="continue"/>
            <w:tcBorders>
              <w:left w:val="single" w:color="000000" w:sz="4" w:space="0"/>
              <w:right w:val="single" w:color="000000" w:sz="4" w:space="0"/>
            </w:tcBorders>
            <w:shd w:val="clear" w:color="auto" w:fill="FFFFFF" w:themeFill="background1"/>
            <w:vAlign w:val="center"/>
          </w:tcPr>
          <w:p w14:paraId="009C14DC">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F563B8">
            <w:pPr>
              <w:jc w:val="center"/>
              <w:rPr>
                <w:rFonts w:ascii="宋体" w:hAnsi="宋体" w:eastAsia="宋体" w:cs="宋体"/>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C4E5B">
            <w:pPr>
              <w:jc w:val="center"/>
              <w:rPr>
                <w:rFonts w:ascii="宋体" w:hAnsi="宋体" w:eastAsia="宋体" w:cs="宋体"/>
                <w:sz w:val="20"/>
                <w:szCs w:val="20"/>
              </w:rPr>
            </w:pPr>
          </w:p>
        </w:tc>
        <w:tc>
          <w:tcPr>
            <w:tcW w:w="3118" w:type="dxa"/>
            <w:tcBorders>
              <w:top w:val="single" w:color="000000" w:sz="4" w:space="0"/>
              <w:left w:val="single" w:color="000000" w:sz="4" w:space="0"/>
              <w:right w:val="single" w:color="000000" w:sz="4" w:space="0"/>
            </w:tcBorders>
            <w:shd w:val="clear" w:color="auto" w:fill="FFFFFF" w:themeFill="background1"/>
            <w:vAlign w:val="center"/>
          </w:tcPr>
          <w:p w14:paraId="20777852">
            <w:pPr>
              <w:jc w:val="left"/>
              <w:textAlignment w:val="center"/>
              <w:rPr>
                <w:rFonts w:ascii="宋体" w:hAnsi="宋体" w:eastAsia="宋体" w:cs="宋体"/>
                <w:b/>
                <w:bCs/>
                <w:sz w:val="22"/>
              </w:rPr>
            </w:pPr>
            <w:r>
              <w:rPr>
                <w:rStyle w:val="18"/>
                <w:rFonts w:hint="default"/>
                <w:color w:val="auto"/>
              </w:rPr>
              <w:t>企业有完善的质量管理制度和可行的质量奖惩办法，得0.5</w:t>
            </w:r>
            <w:r>
              <w:rPr>
                <w:rStyle w:val="19"/>
                <w:color w:val="auto"/>
              </w:rPr>
              <w:t>~</w:t>
            </w:r>
            <w:r>
              <w:rPr>
                <w:rStyle w:val="18"/>
                <w:rFonts w:hint="default"/>
                <w:color w:val="auto"/>
              </w:rPr>
              <w:t>2分</w:t>
            </w:r>
            <w:r>
              <w:rPr>
                <w:rStyle w:val="18"/>
                <w:rFonts w:hint="default"/>
                <w:color w:val="auto"/>
              </w:rPr>
              <w:br w:type="textWrapping"/>
            </w:r>
            <w:r>
              <w:rPr>
                <w:rStyle w:val="18"/>
                <w:rFonts w:hint="default"/>
                <w:color w:val="auto"/>
              </w:rPr>
              <w:t>通过ISO质量管理体系认证，得1分</w:t>
            </w:r>
          </w:p>
        </w:tc>
        <w:tc>
          <w:tcPr>
            <w:tcW w:w="1276" w:type="dxa"/>
            <w:tcBorders>
              <w:top w:val="single" w:color="000000" w:sz="4" w:space="0"/>
              <w:left w:val="single" w:color="000000" w:sz="4" w:space="0"/>
              <w:right w:val="single" w:color="000000" w:sz="4" w:space="0"/>
            </w:tcBorders>
            <w:shd w:val="clear" w:color="auto" w:fill="FFFFFF" w:themeFill="background1"/>
            <w:vAlign w:val="center"/>
          </w:tcPr>
          <w:p w14:paraId="1FC01975">
            <w:pPr>
              <w:jc w:val="center"/>
              <w:textAlignment w:val="center"/>
              <w:rPr>
                <w:rFonts w:ascii="宋体" w:hAnsi="宋体" w:eastAsia="宋体" w:cs="宋体"/>
                <w:b/>
                <w:bCs/>
                <w:sz w:val="22"/>
              </w:rPr>
            </w:pPr>
            <w:r>
              <w:rPr>
                <w:rStyle w:val="16"/>
                <w:rFonts w:hint="default"/>
                <w:color w:val="auto"/>
              </w:rPr>
              <w:t>0</w:t>
            </w:r>
            <w:r>
              <w:rPr>
                <w:rStyle w:val="19"/>
                <w:color w:val="auto"/>
              </w:rPr>
              <w:t>~</w:t>
            </w:r>
            <w:r>
              <w:rPr>
                <w:rStyle w:val="16"/>
                <w:rFonts w:hint="default"/>
                <w:color w:val="auto"/>
              </w:rPr>
              <w:t>3</w:t>
            </w:r>
          </w:p>
        </w:tc>
        <w:tc>
          <w:tcPr>
            <w:tcW w:w="709" w:type="dxa"/>
            <w:tcBorders>
              <w:top w:val="single" w:color="000000" w:sz="4" w:space="0"/>
              <w:left w:val="single" w:color="000000" w:sz="4" w:space="0"/>
              <w:right w:val="single" w:color="000000" w:sz="4" w:space="0"/>
            </w:tcBorders>
            <w:shd w:val="clear" w:color="auto" w:fill="FFFFFF" w:themeFill="background1"/>
            <w:vAlign w:val="center"/>
          </w:tcPr>
          <w:p w14:paraId="37ED813B">
            <w:pPr>
              <w:jc w:val="center"/>
              <w:textAlignment w:val="center"/>
              <w:rPr>
                <w:rFonts w:ascii="宋体" w:hAnsi="宋体" w:eastAsia="宋体" w:cs="宋体"/>
                <w:b/>
                <w:bCs/>
                <w:sz w:val="22"/>
              </w:rPr>
            </w:pPr>
            <w:r>
              <w:rPr>
                <w:rFonts w:hint="eastAsia" w:ascii="宋体" w:hAnsi="宋体" w:eastAsia="宋体" w:cs="宋体"/>
                <w:kern w:val="0"/>
                <w:sz w:val="20"/>
                <w:szCs w:val="20"/>
              </w:rPr>
              <w:t>3</w:t>
            </w:r>
          </w:p>
        </w:tc>
        <w:tc>
          <w:tcPr>
            <w:tcW w:w="708" w:type="dxa"/>
            <w:tcBorders>
              <w:top w:val="single" w:color="000000" w:sz="4" w:space="0"/>
              <w:left w:val="single" w:color="000000" w:sz="4" w:space="0"/>
              <w:right w:val="single" w:color="000000" w:sz="4" w:space="0"/>
            </w:tcBorders>
            <w:shd w:val="clear" w:color="auto" w:fill="FFFFFF" w:themeFill="background1"/>
            <w:vAlign w:val="center"/>
          </w:tcPr>
          <w:p w14:paraId="348B83D3">
            <w:pPr>
              <w:jc w:val="center"/>
              <w:textAlignment w:val="center"/>
              <w:rPr>
                <w:rFonts w:ascii="宋体" w:hAnsi="宋体" w:eastAsia="宋体" w:cs="宋体"/>
                <w:b/>
                <w:bCs/>
                <w:sz w:val="22"/>
              </w:rPr>
            </w:pPr>
            <w:r>
              <w:rPr>
                <w:rFonts w:hint="eastAsia" w:ascii="宋体" w:hAnsi="宋体" w:eastAsia="宋体" w:cs="宋体"/>
                <w:kern w:val="0"/>
                <w:sz w:val="20"/>
                <w:szCs w:val="20"/>
              </w:rPr>
              <w:t>1</w:t>
            </w:r>
          </w:p>
        </w:tc>
        <w:tc>
          <w:tcPr>
            <w:tcW w:w="5387" w:type="dxa"/>
            <w:tcBorders>
              <w:top w:val="single" w:color="000000" w:sz="4" w:space="0"/>
              <w:left w:val="single" w:color="000000" w:sz="4" w:space="0"/>
              <w:right w:val="single" w:color="000000" w:sz="4" w:space="0"/>
            </w:tcBorders>
            <w:shd w:val="clear" w:color="auto" w:fill="FFFFFF" w:themeFill="background1"/>
            <w:vAlign w:val="center"/>
          </w:tcPr>
          <w:p w14:paraId="6AD9383E">
            <w:pPr>
              <w:jc w:val="left"/>
              <w:textAlignment w:val="center"/>
              <w:rPr>
                <w:rFonts w:ascii="宋体" w:hAnsi="宋体" w:eastAsia="宋体" w:cs="宋体"/>
                <w:b/>
                <w:bCs/>
                <w:sz w:val="22"/>
              </w:rPr>
            </w:pPr>
            <w:r>
              <w:rPr>
                <w:rFonts w:hint="eastAsia" w:ascii="宋体" w:hAnsi="宋体" w:eastAsia="宋体" w:cs="宋体"/>
                <w:kern w:val="0"/>
                <w:sz w:val="20"/>
                <w:szCs w:val="20"/>
              </w:rPr>
              <w:t>1.根据质量管理制度和奖惩办法完整、规范、操作性程度，加0.5</w:t>
            </w:r>
            <w:r>
              <w:rPr>
                <w:rStyle w:val="19"/>
                <w:color w:val="auto"/>
              </w:rPr>
              <w:t>~</w:t>
            </w:r>
            <w:r>
              <w:rPr>
                <w:rFonts w:hint="eastAsia" w:ascii="宋体" w:hAnsi="宋体" w:eastAsia="宋体" w:cs="宋体"/>
                <w:kern w:val="0"/>
                <w:sz w:val="20"/>
                <w:szCs w:val="20"/>
              </w:rPr>
              <w:t>2分，没有的扣1分；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2.质量管理认证证书应在有效期内。</w:t>
            </w:r>
          </w:p>
        </w:tc>
      </w:tr>
      <w:tr w14:paraId="448E1FEB">
        <w:tblPrEx>
          <w:tblCellMar>
            <w:top w:w="0" w:type="dxa"/>
            <w:left w:w="108" w:type="dxa"/>
            <w:bottom w:w="0" w:type="dxa"/>
            <w:right w:w="108" w:type="dxa"/>
          </w:tblCellMar>
        </w:tblPrEx>
        <w:trPr>
          <w:trHeight w:val="699" w:hRule="atLeast"/>
        </w:trPr>
        <w:tc>
          <w:tcPr>
            <w:tcW w:w="1135" w:type="dxa"/>
            <w:vMerge w:val="continue"/>
            <w:tcBorders>
              <w:left w:val="single" w:color="000000" w:sz="4" w:space="0"/>
              <w:right w:val="single" w:color="000000" w:sz="4" w:space="0"/>
            </w:tcBorders>
            <w:shd w:val="clear" w:color="auto" w:fill="FFFFFF" w:themeFill="background1"/>
            <w:vAlign w:val="center"/>
          </w:tcPr>
          <w:p w14:paraId="35002C99">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2305A">
            <w:pPr>
              <w:jc w:val="center"/>
              <w:rPr>
                <w:rFonts w:ascii="宋体" w:hAnsi="宋体" w:eastAsia="宋体" w:cs="宋体"/>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7B13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xml:space="preserve">2.2.2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造价咨询业务成果文件档案管理</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EC5E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有专用档案室，得1分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有专职档案管理员，得1分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4CBA2">
            <w:pPr>
              <w:widowControl/>
              <w:jc w:val="center"/>
              <w:textAlignment w:val="center"/>
              <w:rPr>
                <w:rFonts w:ascii="宋体" w:hAnsi="宋体" w:eastAsia="宋体" w:cs="宋体"/>
                <w:sz w:val="20"/>
                <w:szCs w:val="20"/>
              </w:rPr>
            </w:pPr>
            <w:r>
              <w:rPr>
                <w:rStyle w:val="16"/>
                <w:rFonts w:hint="default"/>
                <w:color w:val="auto"/>
              </w:rPr>
              <w:t>0</w:t>
            </w:r>
            <w:r>
              <w:rPr>
                <w:rStyle w:val="19"/>
                <w:color w:val="auto"/>
              </w:rPr>
              <w:t>~</w:t>
            </w:r>
            <w:r>
              <w:rPr>
                <w:rStyle w:val="16"/>
                <w:rFonts w:hint="default"/>
                <w:color w:val="auto"/>
              </w:rPr>
              <w:t>2</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1EC98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64CF8">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BCDF4D">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专用档案室照片、专职档案员聘任合同或聘任协议。</w:t>
            </w:r>
          </w:p>
        </w:tc>
      </w:tr>
      <w:tr w14:paraId="5EF521B1">
        <w:tblPrEx>
          <w:shd w:val="clear" w:color="auto" w:fill="FFFFFF" w:themeFill="background1"/>
          <w:tblCellMar>
            <w:top w:w="0" w:type="dxa"/>
            <w:left w:w="108" w:type="dxa"/>
            <w:bottom w:w="0" w:type="dxa"/>
            <w:right w:w="108" w:type="dxa"/>
          </w:tblCellMar>
        </w:tblPrEx>
        <w:trPr>
          <w:trHeight w:val="776" w:hRule="atLeast"/>
        </w:trPr>
        <w:tc>
          <w:tcPr>
            <w:tcW w:w="1135" w:type="dxa"/>
            <w:vMerge w:val="continue"/>
            <w:tcBorders>
              <w:left w:val="single" w:color="000000" w:sz="4" w:space="0"/>
              <w:right w:val="single" w:color="000000" w:sz="4" w:space="0"/>
            </w:tcBorders>
            <w:shd w:val="clear" w:color="auto" w:fill="FFFFFF" w:themeFill="background1"/>
            <w:vAlign w:val="center"/>
          </w:tcPr>
          <w:p w14:paraId="221CF413">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CF982F">
            <w:pPr>
              <w:jc w:val="center"/>
              <w:rPr>
                <w:rFonts w:ascii="宋体" w:hAnsi="宋体" w:eastAsia="宋体" w:cs="宋体"/>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37F741">
            <w:pPr>
              <w:jc w:val="center"/>
              <w:rPr>
                <w:rFonts w:ascii="宋体" w:hAnsi="宋体" w:eastAsia="宋体" w:cs="宋体"/>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3268C4">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档案室中至少保存前五年完整的档案，得2分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9E754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9657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1E8D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23B14">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1.咨询项目登记表、档案台账和档案三者比对。</w:t>
            </w:r>
          </w:p>
          <w:p w14:paraId="5178D62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2.成立不足5年的企业，历年档案应保存完整。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3.无档案台账扣2分；台账不完整扣1分。</w:t>
            </w:r>
          </w:p>
        </w:tc>
      </w:tr>
      <w:tr w14:paraId="11F9F665">
        <w:tblPrEx>
          <w:tblCellMar>
            <w:top w:w="0" w:type="dxa"/>
            <w:left w:w="108" w:type="dxa"/>
            <w:bottom w:w="0" w:type="dxa"/>
            <w:right w:w="108" w:type="dxa"/>
          </w:tblCellMar>
        </w:tblPrEx>
        <w:trPr>
          <w:trHeight w:val="1580" w:hRule="atLeast"/>
        </w:trPr>
        <w:tc>
          <w:tcPr>
            <w:tcW w:w="1135" w:type="dxa"/>
            <w:vMerge w:val="continue"/>
            <w:tcBorders>
              <w:left w:val="single" w:color="000000" w:sz="4" w:space="0"/>
              <w:right w:val="single" w:color="000000" w:sz="4" w:space="0"/>
            </w:tcBorders>
            <w:shd w:val="clear" w:color="auto" w:fill="FFFFFF" w:themeFill="background1"/>
            <w:vAlign w:val="center"/>
          </w:tcPr>
          <w:p w14:paraId="57B6BE0A">
            <w:pPr>
              <w:jc w:val="center"/>
              <w:rPr>
                <w:rFonts w:ascii="宋体" w:hAnsi="宋体" w:eastAsia="宋体" w:cs="宋体"/>
                <w:sz w:val="20"/>
                <w:szCs w:val="20"/>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3F530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2.3</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教育培训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（3分）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2CDFB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2.3.1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业务培训</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D400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企业员工参加业务培训的，每次得0.5分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AD5F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0.5*X</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B31B0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DAA9E9">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B1E3D">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1.“X”为企业造价咨询从业人员上一年度参加工程造价相关业务培训的次数；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2.可以是外部机构组织的，也可以是企业自行组织的培训；</w:t>
            </w:r>
          </w:p>
          <w:p w14:paraId="1CD7A825">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3.此项所指业务培训不含注册造价工程师资格延续需要的继续教育。</w:t>
            </w:r>
          </w:p>
        </w:tc>
      </w:tr>
      <w:tr w14:paraId="3BFDBB75">
        <w:tblPrEx>
          <w:shd w:val="clear" w:color="auto" w:fill="FFFFFF" w:themeFill="background1"/>
          <w:tblCellMar>
            <w:top w:w="0" w:type="dxa"/>
            <w:left w:w="108" w:type="dxa"/>
            <w:bottom w:w="0" w:type="dxa"/>
            <w:right w:w="108" w:type="dxa"/>
          </w:tblCellMar>
        </w:tblPrEx>
        <w:trPr>
          <w:trHeight w:val="987" w:hRule="atLeast"/>
        </w:trPr>
        <w:tc>
          <w:tcPr>
            <w:tcW w:w="1135" w:type="dxa"/>
            <w:vMerge w:val="continue"/>
            <w:tcBorders>
              <w:left w:val="single" w:color="000000" w:sz="4" w:space="0"/>
              <w:bottom w:val="single" w:color="auto" w:sz="4" w:space="0"/>
              <w:right w:val="single" w:color="000000" w:sz="4" w:space="0"/>
            </w:tcBorders>
            <w:shd w:val="clear" w:color="auto" w:fill="FFFFFF" w:themeFill="background1"/>
            <w:vAlign w:val="center"/>
          </w:tcPr>
          <w:p w14:paraId="395AC6C9">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9F2183">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B873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2.3.2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廉洁教育 </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0B5DB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对员工进行廉洁教育或组织参观廉政教育基地</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B746C1">
            <w:pPr>
              <w:jc w:val="center"/>
              <w:rPr>
                <w:rFonts w:ascii="宋体" w:hAnsi="宋体" w:eastAsia="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7D3BD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F46CC9">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D5E6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企业上一年度对员工进行廉洁教育或组织参观廉政教育基地</w:t>
            </w:r>
          </w:p>
        </w:tc>
      </w:tr>
      <w:tr w14:paraId="40FC3FC6">
        <w:tblPrEx>
          <w:tblCellMar>
            <w:top w:w="0" w:type="dxa"/>
            <w:left w:w="108" w:type="dxa"/>
            <w:bottom w:w="0" w:type="dxa"/>
            <w:right w:w="108" w:type="dxa"/>
          </w:tblCellMar>
        </w:tblPrEx>
        <w:trPr>
          <w:trHeight w:val="744" w:hRule="atLeast"/>
        </w:trPr>
        <w:tc>
          <w:tcPr>
            <w:tcW w:w="1135"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794B0D3">
            <w:pPr>
              <w:widowControl/>
              <w:jc w:val="center"/>
              <w:textAlignment w:val="center"/>
              <w:rPr>
                <w:rFonts w:ascii="宋体" w:hAnsi="宋体" w:eastAsia="宋体" w:cs="宋体"/>
                <w:b/>
                <w:bCs/>
                <w:sz w:val="22"/>
              </w:rPr>
            </w:pPr>
            <w:r>
              <w:rPr>
                <w:rFonts w:hint="eastAsia" w:ascii="宋体" w:hAnsi="宋体" w:eastAsia="宋体" w:cs="宋体"/>
                <w:b/>
                <w:bCs/>
                <w:kern w:val="0"/>
                <w:sz w:val="22"/>
              </w:rPr>
              <w:t>一级指标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1EB29E">
            <w:pPr>
              <w:widowControl/>
              <w:jc w:val="center"/>
              <w:textAlignment w:val="center"/>
              <w:rPr>
                <w:rFonts w:ascii="宋体" w:hAnsi="宋体" w:eastAsia="宋体" w:cs="宋体"/>
                <w:b/>
                <w:bCs/>
                <w:sz w:val="22"/>
              </w:rPr>
            </w:pPr>
            <w:r>
              <w:rPr>
                <w:rFonts w:hint="eastAsia" w:ascii="宋体" w:hAnsi="宋体" w:eastAsia="宋体" w:cs="宋体"/>
                <w:b/>
                <w:bCs/>
                <w:kern w:val="0"/>
                <w:sz w:val="22"/>
              </w:rPr>
              <w:t>二级指标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1075A">
            <w:pPr>
              <w:widowControl/>
              <w:jc w:val="center"/>
              <w:textAlignment w:val="center"/>
              <w:rPr>
                <w:rFonts w:ascii="宋体" w:hAnsi="宋体" w:eastAsia="宋体" w:cs="宋体"/>
                <w:b/>
                <w:bCs/>
                <w:sz w:val="22"/>
              </w:rPr>
            </w:pPr>
            <w:r>
              <w:rPr>
                <w:rFonts w:hint="eastAsia" w:ascii="宋体" w:hAnsi="宋体" w:eastAsia="宋体" w:cs="宋体"/>
                <w:b/>
                <w:bCs/>
                <w:kern w:val="0"/>
                <w:sz w:val="22"/>
              </w:rPr>
              <w:t>三级指标</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DFD1CC">
            <w:pPr>
              <w:widowControl/>
              <w:jc w:val="center"/>
              <w:textAlignment w:val="center"/>
              <w:rPr>
                <w:rFonts w:ascii="宋体" w:hAnsi="宋体" w:eastAsia="宋体" w:cs="宋体"/>
                <w:b/>
                <w:bCs/>
                <w:sz w:val="22"/>
              </w:rPr>
            </w:pPr>
            <w:r>
              <w:rPr>
                <w:rFonts w:hint="eastAsia" w:ascii="宋体" w:hAnsi="宋体" w:eastAsia="宋体" w:cs="宋体"/>
                <w:b/>
                <w:bCs/>
                <w:kern w:val="0"/>
                <w:sz w:val="22"/>
              </w:rPr>
              <w:t>评价标准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C2210">
            <w:pPr>
              <w:widowControl/>
              <w:jc w:val="center"/>
              <w:textAlignment w:val="center"/>
              <w:rPr>
                <w:rFonts w:ascii="宋体" w:hAnsi="宋体" w:eastAsia="宋体" w:cs="宋体"/>
                <w:b/>
                <w:bCs/>
                <w:sz w:val="22"/>
              </w:rPr>
            </w:pPr>
            <w:r>
              <w:rPr>
                <w:rFonts w:hint="eastAsia" w:ascii="宋体" w:hAnsi="宋体" w:eastAsia="宋体" w:cs="宋体"/>
                <w:b/>
                <w:bCs/>
                <w:kern w:val="0"/>
                <w:sz w:val="22"/>
              </w:rPr>
              <w:t>计算公式</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FA199D">
            <w:pPr>
              <w:widowControl/>
              <w:jc w:val="center"/>
              <w:textAlignment w:val="center"/>
              <w:rPr>
                <w:rFonts w:ascii="宋体" w:hAnsi="宋体" w:eastAsia="宋体" w:cs="宋体"/>
                <w:b/>
                <w:bCs/>
                <w:sz w:val="22"/>
              </w:rPr>
            </w:pPr>
            <w:r>
              <w:rPr>
                <w:rFonts w:hint="eastAsia" w:ascii="宋体" w:hAnsi="宋体" w:eastAsia="宋体" w:cs="宋体"/>
                <w:b/>
                <w:bCs/>
                <w:kern w:val="0"/>
                <w:sz w:val="22"/>
              </w:rPr>
              <w:t>得分限额</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76F2AB">
            <w:pPr>
              <w:widowControl/>
              <w:jc w:val="center"/>
              <w:textAlignment w:val="center"/>
              <w:rPr>
                <w:rFonts w:ascii="宋体" w:hAnsi="宋体" w:eastAsia="宋体" w:cs="宋体"/>
                <w:b/>
                <w:bCs/>
                <w:sz w:val="22"/>
              </w:rPr>
            </w:pPr>
            <w:r>
              <w:rPr>
                <w:rFonts w:hint="eastAsia" w:ascii="宋体" w:hAnsi="宋体" w:eastAsia="宋体" w:cs="宋体"/>
                <w:b/>
                <w:bCs/>
                <w:kern w:val="0"/>
                <w:sz w:val="22"/>
              </w:rPr>
              <w:t>扣分限额</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0B6EE3">
            <w:pPr>
              <w:widowControl/>
              <w:jc w:val="center"/>
              <w:textAlignment w:val="center"/>
              <w:rPr>
                <w:rFonts w:ascii="宋体" w:hAnsi="宋体" w:eastAsia="宋体" w:cs="宋体"/>
                <w:b/>
                <w:bCs/>
                <w:sz w:val="22"/>
              </w:rPr>
            </w:pPr>
            <w:r>
              <w:rPr>
                <w:rFonts w:hint="eastAsia" w:ascii="宋体" w:hAnsi="宋体" w:eastAsia="宋体" w:cs="宋体"/>
                <w:b/>
                <w:bCs/>
                <w:kern w:val="0"/>
                <w:sz w:val="22"/>
              </w:rPr>
              <w:t>说明</w:t>
            </w:r>
          </w:p>
        </w:tc>
      </w:tr>
      <w:tr w14:paraId="7C3C74DA">
        <w:tblPrEx>
          <w:shd w:val="clear" w:color="auto" w:fill="FFFFFF" w:themeFill="background1"/>
          <w:tblCellMar>
            <w:top w:w="0" w:type="dxa"/>
            <w:left w:w="108" w:type="dxa"/>
            <w:bottom w:w="0" w:type="dxa"/>
            <w:right w:w="108" w:type="dxa"/>
          </w:tblCellMar>
        </w:tblPrEx>
        <w:trPr>
          <w:trHeight w:val="555" w:hRule="atLeast"/>
        </w:trPr>
        <w:tc>
          <w:tcPr>
            <w:tcW w:w="1135" w:type="dxa"/>
            <w:vMerge w:val="restart"/>
            <w:tcBorders>
              <w:left w:val="single" w:color="000000" w:sz="4" w:space="0"/>
              <w:right w:val="single" w:color="000000" w:sz="4" w:space="0"/>
            </w:tcBorders>
            <w:shd w:val="clear" w:color="auto" w:fill="FFFFFF" w:themeFill="background1"/>
            <w:vAlign w:val="center"/>
          </w:tcPr>
          <w:p w14:paraId="27A3F09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2.经营    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（60分）</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33DD5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xml:space="preserve">2.4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信息化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（8分）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0155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2.4.1                  对外平台</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B48D9">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企业自建网站或公众号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A019C0">
            <w:pPr>
              <w:jc w:val="center"/>
              <w:rPr>
                <w:rFonts w:ascii="宋体" w:hAnsi="宋体" w:eastAsia="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BFD9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A0C88">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E6E4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网站及公众号应正常更新。</w:t>
            </w:r>
          </w:p>
        </w:tc>
      </w:tr>
      <w:tr w14:paraId="735A4F9D">
        <w:tblPrEx>
          <w:tblCellMar>
            <w:top w:w="0" w:type="dxa"/>
            <w:left w:w="108" w:type="dxa"/>
            <w:bottom w:w="0" w:type="dxa"/>
            <w:right w:w="108" w:type="dxa"/>
          </w:tblCellMar>
        </w:tblPrEx>
        <w:trPr>
          <w:trHeight w:val="1588" w:hRule="atLeast"/>
        </w:trPr>
        <w:tc>
          <w:tcPr>
            <w:tcW w:w="1135" w:type="dxa"/>
            <w:vMerge w:val="continue"/>
            <w:tcBorders>
              <w:left w:val="single" w:color="000000" w:sz="4" w:space="0"/>
              <w:right w:val="single" w:color="000000" w:sz="4" w:space="0"/>
            </w:tcBorders>
            <w:shd w:val="clear" w:color="auto" w:fill="FFFFFF" w:themeFill="background1"/>
            <w:vAlign w:val="center"/>
          </w:tcPr>
          <w:p w14:paraId="4265CC34">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7C505">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30451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2.4.2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办公自动化及企业业务管理系统</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3EFC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企业投用办公自动化系统，运行正常，得1分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具有咨询业务管理系统并使用正常，得2分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99FE1B">
            <w:pPr>
              <w:widowControl/>
              <w:jc w:val="center"/>
              <w:textAlignment w:val="center"/>
              <w:rPr>
                <w:rFonts w:ascii="宋体" w:hAnsi="宋体" w:eastAsia="宋体" w:cs="宋体"/>
                <w:sz w:val="20"/>
                <w:szCs w:val="20"/>
              </w:rPr>
            </w:pPr>
            <w:r>
              <w:rPr>
                <w:rStyle w:val="16"/>
                <w:rFonts w:hint="default"/>
                <w:color w:val="auto"/>
              </w:rPr>
              <w:t>0</w:t>
            </w:r>
            <w:r>
              <w:rPr>
                <w:rStyle w:val="19"/>
                <w:color w:val="auto"/>
              </w:rPr>
              <w:t>~</w:t>
            </w:r>
            <w:r>
              <w:rPr>
                <w:rStyle w:val="16"/>
                <w:rFonts w:hint="default"/>
                <w:color w:val="auto"/>
              </w:rPr>
              <w:t>3</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34DBB1">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B98AAE">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47E12E">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1.能实现基本业务流程、成果文件系统的集成的，得1分；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2.能够满足客户管理、合同管理、业务流程管理、档案管理、绩效统计、成本管控等多种业务流的集成，得2分。</w:t>
            </w:r>
          </w:p>
        </w:tc>
      </w:tr>
      <w:tr w14:paraId="0857709E">
        <w:tblPrEx>
          <w:tblCellMar>
            <w:top w:w="0" w:type="dxa"/>
            <w:left w:w="108" w:type="dxa"/>
            <w:bottom w:w="0" w:type="dxa"/>
            <w:right w:w="108" w:type="dxa"/>
          </w:tblCellMar>
        </w:tblPrEx>
        <w:trPr>
          <w:trHeight w:val="1114" w:hRule="atLeast"/>
        </w:trPr>
        <w:tc>
          <w:tcPr>
            <w:tcW w:w="1135" w:type="dxa"/>
            <w:vMerge w:val="continue"/>
            <w:tcBorders>
              <w:left w:val="single" w:color="000000" w:sz="4" w:space="0"/>
              <w:right w:val="single" w:color="000000" w:sz="4" w:space="0"/>
            </w:tcBorders>
            <w:shd w:val="clear" w:color="auto" w:fill="FFFFFF" w:themeFill="background1"/>
            <w:vAlign w:val="center"/>
          </w:tcPr>
          <w:p w14:paraId="435444CC">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98DE8E">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153B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 xml:space="preserve">2.4.3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已完工程数据库</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73F00">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企业已完工程数据库(指标库、材料价格库等)建立完善并投入应用，每项得1.5分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60156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1.5*X</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C2381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7FB65B">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34567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1.“X”为指标库或材料价格库等数据库；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2.已完项目已录入数据库系统中或有已完项目的数据统计指标。</w:t>
            </w:r>
          </w:p>
        </w:tc>
      </w:tr>
      <w:tr w14:paraId="12E8B4EA">
        <w:tblPrEx>
          <w:shd w:val="clear" w:color="auto" w:fill="FFFFFF" w:themeFill="background1"/>
          <w:tblCellMar>
            <w:top w:w="0" w:type="dxa"/>
            <w:left w:w="108" w:type="dxa"/>
            <w:bottom w:w="0" w:type="dxa"/>
            <w:right w:w="108" w:type="dxa"/>
          </w:tblCellMar>
        </w:tblPrEx>
        <w:trPr>
          <w:trHeight w:val="1366" w:hRule="atLeast"/>
        </w:trPr>
        <w:tc>
          <w:tcPr>
            <w:tcW w:w="1135" w:type="dxa"/>
            <w:vMerge w:val="continue"/>
            <w:tcBorders>
              <w:left w:val="single" w:color="000000" w:sz="4" w:space="0"/>
              <w:right w:val="single" w:color="000000" w:sz="4" w:space="0"/>
            </w:tcBorders>
            <w:shd w:val="clear" w:color="auto" w:fill="FFFFFF" w:themeFill="background1"/>
            <w:vAlign w:val="center"/>
          </w:tcPr>
          <w:p w14:paraId="5D4295CE">
            <w:pPr>
              <w:jc w:val="center"/>
              <w:rPr>
                <w:rFonts w:ascii="宋体" w:hAnsi="宋体" w:eastAsia="宋体" w:cs="宋体"/>
                <w:sz w:val="20"/>
                <w:szCs w:val="20"/>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17D45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成果质量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（10分）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AF34B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2.5.1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造价咨询业务流程管理</w:t>
            </w:r>
          </w:p>
        </w:tc>
        <w:tc>
          <w:tcPr>
            <w:tcW w:w="3118" w:type="dxa"/>
            <w:tcBorders>
              <w:top w:val="single" w:color="000000" w:sz="4" w:space="0"/>
              <w:left w:val="single" w:color="000000" w:sz="4" w:space="0"/>
              <w:bottom w:val="single" w:color="000000" w:sz="4" w:space="0"/>
              <w:right w:val="nil"/>
            </w:tcBorders>
            <w:shd w:val="clear" w:color="auto" w:fill="FFFFFF" w:themeFill="background1"/>
            <w:vAlign w:val="center"/>
          </w:tcPr>
          <w:p w14:paraId="7A1878C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有完整的项目咨询方案或计划书，得2分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有复核流程单且保存完整、内容详实，得2分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2082EA">
            <w:pPr>
              <w:widowControl/>
              <w:jc w:val="center"/>
              <w:textAlignment w:val="center"/>
              <w:rPr>
                <w:rFonts w:ascii="宋体" w:hAnsi="宋体" w:eastAsia="宋体" w:cs="宋体"/>
                <w:sz w:val="20"/>
                <w:szCs w:val="20"/>
              </w:rPr>
            </w:pPr>
            <w:r>
              <w:rPr>
                <w:rStyle w:val="16"/>
                <w:rFonts w:hint="default"/>
                <w:color w:val="auto"/>
              </w:rPr>
              <w:t>0</w:t>
            </w:r>
            <w:r>
              <w:rPr>
                <w:rStyle w:val="19"/>
                <w:color w:val="auto"/>
              </w:rPr>
              <w:t>~</w:t>
            </w:r>
            <w:r>
              <w:rPr>
                <w:rStyle w:val="16"/>
                <w:rFonts w:hint="default"/>
                <w:color w:val="auto"/>
              </w:rPr>
              <w:t>4</w:t>
            </w:r>
          </w:p>
        </w:tc>
        <w:tc>
          <w:tcPr>
            <w:tcW w:w="709"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7CD8BF2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99D0E1">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6E6D49">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优先抽取评价期上一年度国有投资项目。</w:t>
            </w:r>
          </w:p>
          <w:p w14:paraId="1D861F7A">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项目类型包括土建、安装、装饰、市政等，咨询类型包括结算审核、工程量清单及招标控制价编制等。</w:t>
            </w:r>
          </w:p>
        </w:tc>
      </w:tr>
      <w:tr w14:paraId="1106DA4D">
        <w:tblPrEx>
          <w:tblCellMar>
            <w:top w:w="0" w:type="dxa"/>
            <w:left w:w="108" w:type="dxa"/>
            <w:bottom w:w="0" w:type="dxa"/>
            <w:right w:w="108" w:type="dxa"/>
          </w:tblCellMar>
        </w:tblPrEx>
        <w:trPr>
          <w:trHeight w:val="90" w:hRule="atLeast"/>
        </w:trPr>
        <w:tc>
          <w:tcPr>
            <w:tcW w:w="1135" w:type="dxa"/>
            <w:vMerge w:val="continue"/>
            <w:tcBorders>
              <w:left w:val="single" w:color="000000" w:sz="4" w:space="0"/>
              <w:right w:val="single" w:color="000000" w:sz="4" w:space="0"/>
            </w:tcBorders>
            <w:shd w:val="clear" w:color="auto" w:fill="FFFFFF" w:themeFill="background1"/>
            <w:vAlign w:val="center"/>
          </w:tcPr>
          <w:p w14:paraId="0E69A064">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8C59C5">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F5D7E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2.5.2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造价咨询业务成果质量情况</w:t>
            </w:r>
          </w:p>
        </w:tc>
        <w:tc>
          <w:tcPr>
            <w:tcW w:w="3118" w:type="dxa"/>
            <w:tcBorders>
              <w:top w:val="single" w:color="000000" w:sz="4" w:space="0"/>
              <w:left w:val="single" w:color="000000" w:sz="4" w:space="0"/>
              <w:bottom w:val="single" w:color="000000" w:sz="4" w:space="0"/>
              <w:right w:val="nil"/>
            </w:tcBorders>
            <w:shd w:val="clear" w:color="auto" w:fill="FFFFFF" w:themeFill="background1"/>
            <w:vAlign w:val="center"/>
          </w:tcPr>
          <w:p w14:paraId="136EDAD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造价咨询成果文件内容准确，得3分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报告书内容完整、规范，得3分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105B1">
            <w:pPr>
              <w:widowControl/>
              <w:jc w:val="center"/>
              <w:textAlignment w:val="center"/>
              <w:rPr>
                <w:rFonts w:ascii="宋体" w:hAnsi="宋体" w:eastAsia="宋体" w:cs="宋体"/>
                <w:sz w:val="20"/>
                <w:szCs w:val="20"/>
              </w:rPr>
            </w:pPr>
            <w:r>
              <w:rPr>
                <w:rStyle w:val="16"/>
                <w:rFonts w:hint="default"/>
                <w:color w:val="auto"/>
              </w:rPr>
              <w:t>0</w:t>
            </w:r>
            <w:r>
              <w:rPr>
                <w:rStyle w:val="19"/>
                <w:color w:val="auto"/>
              </w:rPr>
              <w:t>~</w:t>
            </w:r>
            <w:r>
              <w:rPr>
                <w:rStyle w:val="16"/>
                <w:rFonts w:hint="default"/>
                <w:color w:val="auto"/>
              </w:rPr>
              <w:t>6</w:t>
            </w:r>
          </w:p>
        </w:tc>
        <w:tc>
          <w:tcPr>
            <w:tcW w:w="709" w:type="dxa"/>
            <w:vMerge w:val="continue"/>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AF2B312">
            <w:pPr>
              <w:jc w:val="center"/>
              <w:rPr>
                <w:rFonts w:ascii="宋体" w:hAnsi="宋体" w:eastAsia="宋体" w:cs="宋体"/>
                <w:sz w:val="20"/>
                <w:szCs w:val="20"/>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3CBD0B">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EF915F">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同上</w:t>
            </w:r>
          </w:p>
        </w:tc>
      </w:tr>
      <w:tr w14:paraId="1FC97922">
        <w:tblPrEx>
          <w:shd w:val="clear" w:color="auto" w:fill="FFFFFF" w:themeFill="background1"/>
          <w:tblCellMar>
            <w:top w:w="0" w:type="dxa"/>
            <w:left w:w="108" w:type="dxa"/>
            <w:bottom w:w="0" w:type="dxa"/>
            <w:right w:w="108" w:type="dxa"/>
          </w:tblCellMar>
        </w:tblPrEx>
        <w:trPr>
          <w:trHeight w:val="1415" w:hRule="atLeast"/>
        </w:trPr>
        <w:tc>
          <w:tcPr>
            <w:tcW w:w="1135" w:type="dxa"/>
            <w:vMerge w:val="continue"/>
            <w:tcBorders>
              <w:left w:val="single" w:color="000000" w:sz="4" w:space="0"/>
              <w:bottom w:val="single" w:color="auto" w:sz="4" w:space="0"/>
              <w:right w:val="single" w:color="000000" w:sz="4" w:space="0"/>
            </w:tcBorders>
            <w:shd w:val="clear" w:color="auto" w:fill="FFFFFF" w:themeFill="background1"/>
            <w:vAlign w:val="center"/>
          </w:tcPr>
          <w:p w14:paraId="05644EB1">
            <w:pPr>
              <w:jc w:val="center"/>
              <w:rPr>
                <w:rFonts w:ascii="宋体" w:hAnsi="宋体" w:eastAsia="宋体" w:cs="宋体"/>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CF200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2.6</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社会评价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（2分）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2B82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2.6.1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客户社会评价</w:t>
            </w:r>
          </w:p>
        </w:tc>
        <w:tc>
          <w:tcPr>
            <w:tcW w:w="3118" w:type="dxa"/>
            <w:tcBorders>
              <w:top w:val="single" w:color="000000" w:sz="4" w:space="0"/>
              <w:left w:val="single" w:color="000000" w:sz="4" w:space="0"/>
              <w:bottom w:val="single" w:color="000000" w:sz="4" w:space="0"/>
              <w:right w:val="nil"/>
            </w:tcBorders>
            <w:shd w:val="clear" w:color="auto" w:fill="FFFFFF" w:themeFill="background1"/>
            <w:vAlign w:val="center"/>
          </w:tcPr>
          <w:p w14:paraId="26CF2AD4">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造价咨询项目业主对企业成果质量、专业水平、履约情况、收费合理性满意的，得2分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9663A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28BAF7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50C0F">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68CC1">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同上</w:t>
            </w:r>
          </w:p>
          <w:p w14:paraId="27CABC4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均为满意记录得2分。每有一项“一般”的扣0.25分，每有一项“不满意”的扣0.5分。</w:t>
            </w:r>
          </w:p>
        </w:tc>
      </w:tr>
      <w:tr w14:paraId="058F6FCD">
        <w:tblPrEx>
          <w:tblCellMar>
            <w:top w:w="0" w:type="dxa"/>
            <w:left w:w="108" w:type="dxa"/>
            <w:bottom w:w="0" w:type="dxa"/>
            <w:right w:w="108" w:type="dxa"/>
          </w:tblCellMar>
        </w:tblPrEx>
        <w:trPr>
          <w:trHeight w:val="827" w:hRule="atLeast"/>
        </w:trPr>
        <w:tc>
          <w:tcPr>
            <w:tcW w:w="1135"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53CA15">
            <w:pPr>
              <w:widowControl/>
              <w:jc w:val="center"/>
              <w:textAlignment w:val="center"/>
              <w:rPr>
                <w:rFonts w:ascii="宋体" w:hAnsi="宋体" w:eastAsia="宋体" w:cs="宋体"/>
                <w:b/>
                <w:bCs/>
                <w:sz w:val="22"/>
              </w:rPr>
            </w:pPr>
            <w:r>
              <w:rPr>
                <w:rFonts w:hint="eastAsia" w:ascii="宋体" w:hAnsi="宋体" w:eastAsia="宋体" w:cs="宋体"/>
                <w:b/>
                <w:bCs/>
                <w:kern w:val="0"/>
                <w:sz w:val="22"/>
              </w:rPr>
              <w:t>一级指标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A24EB">
            <w:pPr>
              <w:widowControl/>
              <w:jc w:val="center"/>
              <w:textAlignment w:val="center"/>
              <w:rPr>
                <w:rFonts w:ascii="宋体" w:hAnsi="宋体" w:eastAsia="宋体" w:cs="宋体"/>
                <w:b/>
                <w:bCs/>
                <w:sz w:val="22"/>
              </w:rPr>
            </w:pPr>
            <w:r>
              <w:rPr>
                <w:rFonts w:hint="eastAsia" w:ascii="宋体" w:hAnsi="宋体" w:eastAsia="宋体" w:cs="宋体"/>
                <w:b/>
                <w:bCs/>
                <w:kern w:val="0"/>
                <w:sz w:val="22"/>
              </w:rPr>
              <w:t>二级指标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6EEA5">
            <w:pPr>
              <w:widowControl/>
              <w:jc w:val="center"/>
              <w:textAlignment w:val="center"/>
              <w:rPr>
                <w:rFonts w:ascii="宋体" w:hAnsi="宋体" w:eastAsia="宋体" w:cs="宋体"/>
                <w:b/>
                <w:bCs/>
                <w:sz w:val="22"/>
              </w:rPr>
            </w:pPr>
            <w:r>
              <w:rPr>
                <w:rFonts w:hint="eastAsia" w:ascii="宋体" w:hAnsi="宋体" w:eastAsia="宋体" w:cs="宋体"/>
                <w:b/>
                <w:bCs/>
                <w:kern w:val="0"/>
                <w:sz w:val="22"/>
              </w:rPr>
              <w:t>三级指标</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873D7">
            <w:pPr>
              <w:widowControl/>
              <w:jc w:val="center"/>
              <w:textAlignment w:val="center"/>
              <w:rPr>
                <w:rFonts w:ascii="宋体" w:hAnsi="宋体" w:eastAsia="宋体" w:cs="宋体"/>
                <w:b/>
                <w:bCs/>
                <w:sz w:val="22"/>
              </w:rPr>
            </w:pPr>
            <w:r>
              <w:rPr>
                <w:rFonts w:hint="eastAsia" w:ascii="宋体" w:hAnsi="宋体" w:eastAsia="宋体" w:cs="宋体"/>
                <w:b/>
                <w:bCs/>
                <w:kern w:val="0"/>
                <w:sz w:val="22"/>
              </w:rPr>
              <w:t>评价标准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337527">
            <w:pPr>
              <w:widowControl/>
              <w:jc w:val="center"/>
              <w:textAlignment w:val="center"/>
              <w:rPr>
                <w:rFonts w:ascii="宋体" w:hAnsi="宋体" w:eastAsia="宋体" w:cs="宋体"/>
                <w:b/>
                <w:bCs/>
                <w:sz w:val="22"/>
              </w:rPr>
            </w:pPr>
            <w:r>
              <w:rPr>
                <w:rFonts w:hint="eastAsia" w:ascii="宋体" w:hAnsi="宋体" w:eastAsia="宋体" w:cs="宋体"/>
                <w:b/>
                <w:bCs/>
                <w:kern w:val="0"/>
                <w:sz w:val="22"/>
              </w:rPr>
              <w:t>计算公式</w:t>
            </w:r>
          </w:p>
        </w:tc>
        <w:tc>
          <w:tcPr>
            <w:tcW w:w="709" w:type="dxa"/>
            <w:tcBorders>
              <w:top w:val="single" w:color="000000" w:sz="4" w:space="0"/>
              <w:left w:val="single" w:color="000000" w:sz="4" w:space="0"/>
              <w:bottom w:val="nil"/>
              <w:right w:val="single" w:color="000000" w:sz="4" w:space="0"/>
            </w:tcBorders>
            <w:shd w:val="clear" w:color="auto" w:fill="FFFFFF" w:themeFill="background1"/>
            <w:vAlign w:val="center"/>
          </w:tcPr>
          <w:p w14:paraId="2512D860">
            <w:pPr>
              <w:widowControl/>
              <w:jc w:val="center"/>
              <w:textAlignment w:val="center"/>
              <w:rPr>
                <w:rFonts w:ascii="宋体" w:hAnsi="宋体" w:eastAsia="宋体" w:cs="宋体"/>
                <w:b/>
                <w:bCs/>
                <w:sz w:val="22"/>
              </w:rPr>
            </w:pPr>
            <w:r>
              <w:rPr>
                <w:rFonts w:hint="eastAsia" w:ascii="宋体" w:hAnsi="宋体" w:eastAsia="宋体" w:cs="宋体"/>
                <w:b/>
                <w:bCs/>
                <w:kern w:val="0"/>
                <w:sz w:val="22"/>
              </w:rPr>
              <w:t>得分限额</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104C4">
            <w:pPr>
              <w:widowControl/>
              <w:jc w:val="center"/>
              <w:textAlignment w:val="center"/>
              <w:rPr>
                <w:rFonts w:ascii="宋体" w:hAnsi="宋体" w:eastAsia="宋体" w:cs="宋体"/>
                <w:b/>
                <w:bCs/>
                <w:sz w:val="22"/>
              </w:rPr>
            </w:pPr>
            <w:r>
              <w:rPr>
                <w:rFonts w:hint="eastAsia" w:ascii="宋体" w:hAnsi="宋体" w:eastAsia="宋体" w:cs="宋体"/>
                <w:b/>
                <w:bCs/>
                <w:kern w:val="0"/>
                <w:sz w:val="22"/>
              </w:rPr>
              <w:t>扣分限额</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D9ECB">
            <w:pPr>
              <w:widowControl/>
              <w:jc w:val="center"/>
              <w:textAlignment w:val="center"/>
              <w:rPr>
                <w:rFonts w:ascii="宋体" w:hAnsi="宋体" w:eastAsia="宋体" w:cs="宋体"/>
                <w:b/>
                <w:bCs/>
                <w:sz w:val="22"/>
              </w:rPr>
            </w:pPr>
            <w:r>
              <w:rPr>
                <w:rFonts w:hint="eastAsia" w:ascii="宋体" w:hAnsi="宋体" w:eastAsia="宋体" w:cs="宋体"/>
                <w:b/>
                <w:bCs/>
                <w:kern w:val="0"/>
                <w:sz w:val="22"/>
              </w:rPr>
              <w:t>说明</w:t>
            </w:r>
          </w:p>
        </w:tc>
      </w:tr>
      <w:tr w14:paraId="474F6DBE">
        <w:tblPrEx>
          <w:shd w:val="clear" w:color="auto" w:fill="FFFFFF" w:themeFill="background1"/>
          <w:tblCellMar>
            <w:top w:w="0" w:type="dxa"/>
            <w:left w:w="108" w:type="dxa"/>
            <w:bottom w:w="0" w:type="dxa"/>
            <w:right w:w="108" w:type="dxa"/>
          </w:tblCellMar>
        </w:tblPrEx>
        <w:trPr>
          <w:trHeight w:val="827" w:hRule="atLeast"/>
        </w:trPr>
        <w:tc>
          <w:tcPr>
            <w:tcW w:w="1135" w:type="dxa"/>
            <w:vMerge w:val="restart"/>
            <w:tcBorders>
              <w:top w:val="single" w:color="auto" w:sz="4" w:space="0"/>
              <w:left w:val="single" w:color="000000" w:sz="4" w:space="0"/>
              <w:right w:val="single" w:color="000000" w:sz="4" w:space="0"/>
            </w:tcBorders>
            <w:shd w:val="clear" w:color="auto" w:fill="FFFFFF" w:themeFill="background1"/>
            <w:vAlign w:val="center"/>
          </w:tcPr>
          <w:p w14:paraId="40EFA81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2.经营    管理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（60分）</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D1435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2.7</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文化建设与社会责任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（4分）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A486E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2.7.1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文化建设</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72556">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企业积极举办或参与行业协会举办的精神文明、文化建设等活动，每次得0.5分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C69A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0.5*X</w:t>
            </w:r>
          </w:p>
        </w:tc>
        <w:tc>
          <w:tcPr>
            <w:tcW w:w="709" w:type="dxa"/>
            <w:tcBorders>
              <w:top w:val="single" w:color="000000" w:sz="4" w:space="0"/>
              <w:left w:val="single" w:color="000000" w:sz="4" w:space="0"/>
              <w:bottom w:val="nil"/>
              <w:right w:val="single" w:color="000000" w:sz="4" w:space="0"/>
            </w:tcBorders>
            <w:shd w:val="clear" w:color="auto" w:fill="FFFFFF" w:themeFill="background1"/>
            <w:vAlign w:val="center"/>
          </w:tcPr>
          <w:p w14:paraId="299C08C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34527">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8558FB">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“X”为上一年度举办或参加活动的次数。</w:t>
            </w:r>
          </w:p>
        </w:tc>
      </w:tr>
      <w:tr w14:paraId="36594224">
        <w:tblPrEx>
          <w:tblCellMar>
            <w:top w:w="0" w:type="dxa"/>
            <w:left w:w="108" w:type="dxa"/>
            <w:bottom w:w="0" w:type="dxa"/>
            <w:right w:w="108" w:type="dxa"/>
          </w:tblCellMar>
        </w:tblPrEx>
        <w:trPr>
          <w:trHeight w:val="827" w:hRule="atLeast"/>
        </w:trPr>
        <w:tc>
          <w:tcPr>
            <w:tcW w:w="1135" w:type="dxa"/>
            <w:vMerge w:val="continue"/>
            <w:tcBorders>
              <w:left w:val="single" w:color="000000" w:sz="4" w:space="0"/>
              <w:bottom w:val="single" w:color="auto" w:sz="4" w:space="0"/>
              <w:right w:val="single" w:color="000000" w:sz="4" w:space="0"/>
            </w:tcBorders>
            <w:shd w:val="clear" w:color="auto" w:fill="FFFFFF" w:themeFill="background1"/>
            <w:vAlign w:val="center"/>
          </w:tcPr>
          <w:p w14:paraId="3614CA52">
            <w:pPr>
              <w:jc w:val="center"/>
              <w:rPr>
                <w:rFonts w:ascii="宋体" w:hAnsi="宋体" w:eastAsia="宋体" w:cs="宋体"/>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61536A">
            <w:pPr>
              <w:jc w:val="center"/>
              <w:rPr>
                <w:rFonts w:ascii="宋体" w:hAnsi="宋体" w:eastAsia="宋体" w:cs="宋体"/>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FE9F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2.7.2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企业纳税信用等级 </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EC06C7">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企业纳税信用等级为A的得2分，为B的得1分</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91E114">
            <w:pPr>
              <w:widowControl/>
              <w:jc w:val="center"/>
              <w:textAlignment w:val="center"/>
              <w:rPr>
                <w:rFonts w:ascii="宋体" w:hAnsi="宋体" w:eastAsia="宋体" w:cs="宋体"/>
                <w:sz w:val="20"/>
                <w:szCs w:val="20"/>
              </w:rPr>
            </w:pPr>
            <w:r>
              <w:rPr>
                <w:rStyle w:val="16"/>
                <w:rFonts w:hint="default"/>
                <w:color w:val="auto"/>
              </w:rPr>
              <w:t>0</w:t>
            </w:r>
            <w:r>
              <w:rPr>
                <w:rStyle w:val="19"/>
                <w:color w:val="auto"/>
              </w:rPr>
              <w:t>~</w:t>
            </w:r>
            <w:r>
              <w:rPr>
                <w:rStyle w:val="16"/>
                <w:rFonts w:hint="default"/>
                <w:color w:val="auto"/>
              </w:rPr>
              <w:t>2</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B627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2</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FD51EF">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F77F0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正常纳税企业，税务机关每年4月会确定上一年度纳税评价结果。</w:t>
            </w:r>
          </w:p>
        </w:tc>
      </w:tr>
      <w:tr w14:paraId="7EF6E871">
        <w:tblPrEx>
          <w:tblCellMar>
            <w:top w:w="0" w:type="dxa"/>
            <w:left w:w="108" w:type="dxa"/>
            <w:bottom w:w="0" w:type="dxa"/>
            <w:right w:w="108" w:type="dxa"/>
          </w:tblCellMar>
        </w:tblPrEx>
        <w:trPr>
          <w:trHeight w:val="1100" w:hRule="atLeast"/>
        </w:trPr>
        <w:tc>
          <w:tcPr>
            <w:tcW w:w="1135" w:type="dxa"/>
            <w:vMerge w:val="restart"/>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CF3FBA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3.良好行为和不良行为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D64B1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良好行为加分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（10分）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62E2A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3.1.1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良好行为</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9F4C1">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见良好行为加分表（附件3）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2CCD4">
            <w:pPr>
              <w:jc w:val="center"/>
              <w:rPr>
                <w:rFonts w:ascii="宋体" w:hAnsi="宋体" w:eastAsia="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9EE31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BFE528">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9D76FC">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最高得分限10分。</w:t>
            </w:r>
          </w:p>
        </w:tc>
      </w:tr>
      <w:tr w14:paraId="6A934DDA">
        <w:tblPrEx>
          <w:tblCellMar>
            <w:top w:w="0" w:type="dxa"/>
            <w:left w:w="108" w:type="dxa"/>
            <w:bottom w:w="0" w:type="dxa"/>
            <w:right w:w="108" w:type="dxa"/>
          </w:tblCellMar>
        </w:tblPrEx>
        <w:trPr>
          <w:trHeight w:val="827" w:hRule="atLeast"/>
        </w:trPr>
        <w:tc>
          <w:tcPr>
            <w:tcW w:w="1135" w:type="dxa"/>
            <w:vMerge w:val="continue"/>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187B5E8">
            <w:pPr>
              <w:jc w:val="center"/>
              <w:rPr>
                <w:rFonts w:ascii="宋体" w:hAnsi="宋体" w:eastAsia="宋体" w:cs="宋体"/>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CF912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不良行为扣分</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D902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3.2.1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不良行为</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F07552">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见不良行为扣分表（附件4）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56389">
            <w:pPr>
              <w:rPr>
                <w:rFonts w:ascii="宋体" w:hAnsi="宋体" w:eastAsia="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8D0EF2">
            <w:pPr>
              <w:jc w:val="center"/>
              <w:rPr>
                <w:rFonts w:ascii="宋体" w:hAnsi="宋体" w:eastAsia="宋体" w:cs="宋体"/>
                <w:sz w:val="20"/>
                <w:szCs w:val="20"/>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4F857">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F3778">
            <w:pPr>
              <w:widowControl/>
              <w:jc w:val="left"/>
              <w:textAlignment w:val="center"/>
              <w:rPr>
                <w:rFonts w:ascii="宋体" w:hAnsi="宋体" w:eastAsia="宋体" w:cs="宋体"/>
                <w:sz w:val="20"/>
                <w:szCs w:val="20"/>
              </w:rPr>
            </w:pPr>
            <w:r>
              <w:rPr>
                <w:rFonts w:hint="eastAsia" w:ascii="宋体" w:hAnsi="宋体" w:eastAsia="宋体" w:cs="宋体"/>
                <w:kern w:val="0"/>
                <w:sz w:val="20"/>
                <w:szCs w:val="20"/>
              </w:rPr>
              <w:t>最高减分不限。</w:t>
            </w:r>
          </w:p>
        </w:tc>
      </w:tr>
      <w:tr w14:paraId="109F6668">
        <w:tblPrEx>
          <w:shd w:val="clear" w:color="auto" w:fill="FFFFFF" w:themeFill="background1"/>
          <w:tblCellMar>
            <w:top w:w="0" w:type="dxa"/>
            <w:left w:w="108" w:type="dxa"/>
            <w:bottom w:w="0" w:type="dxa"/>
            <w:right w:w="108" w:type="dxa"/>
          </w:tblCellMar>
        </w:tblPrEx>
        <w:trPr>
          <w:trHeight w:val="562" w:hRule="atLeast"/>
        </w:trPr>
        <w:tc>
          <w:tcPr>
            <w:tcW w:w="8081"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F8D9D5">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rPr>
              <w:t>合计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B3F0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100</w:t>
            </w:r>
          </w:p>
        </w:tc>
        <w:tc>
          <w:tcPr>
            <w:tcW w:w="7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DA9A13">
            <w:pPr>
              <w:jc w:val="center"/>
              <w:rPr>
                <w:rFonts w:ascii="宋体" w:hAnsi="宋体" w:eastAsia="宋体" w:cs="宋体"/>
                <w:sz w:val="20"/>
                <w:szCs w:val="20"/>
              </w:rPr>
            </w:pPr>
          </w:p>
        </w:tc>
        <w:tc>
          <w:tcPr>
            <w:tcW w:w="5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BE34E">
            <w:pPr>
              <w:jc w:val="left"/>
              <w:rPr>
                <w:rFonts w:ascii="宋体" w:hAnsi="宋体" w:eastAsia="宋体" w:cs="宋体"/>
                <w:sz w:val="20"/>
                <w:szCs w:val="20"/>
              </w:rPr>
            </w:pPr>
          </w:p>
        </w:tc>
      </w:tr>
    </w:tbl>
    <w:p w14:paraId="7823647B">
      <w:pPr>
        <w:jc w:val="left"/>
        <w:rPr>
          <w:rFonts w:ascii="宋体" w:hAnsi="宋体" w:eastAsia="宋体" w:cs="宋体"/>
          <w:kern w:val="0"/>
          <w:sz w:val="22"/>
        </w:rPr>
      </w:pPr>
    </w:p>
    <w:p w14:paraId="3412D1DB">
      <w:pPr>
        <w:jc w:val="left"/>
        <w:rPr>
          <w:rFonts w:ascii="宋体" w:hAnsi="宋体" w:eastAsia="宋体" w:cs="宋体"/>
          <w:kern w:val="0"/>
          <w:sz w:val="22"/>
        </w:rPr>
      </w:pPr>
      <w:r>
        <w:rPr>
          <w:rFonts w:hint="eastAsia" w:ascii="宋体" w:hAnsi="宋体" w:eastAsia="宋体" w:cs="宋体"/>
          <w:kern w:val="0"/>
          <w:sz w:val="22"/>
        </w:rPr>
        <w:t>注：1.企业填报相关信息，准备相关材料备查，接受社会监督；</w:t>
      </w:r>
      <w:r>
        <w:rPr>
          <w:rFonts w:hint="eastAsia" w:ascii="宋体" w:hAnsi="宋体" w:eastAsia="宋体" w:cs="宋体"/>
          <w:kern w:val="0"/>
          <w:sz w:val="22"/>
        </w:rPr>
        <w:br w:type="textWrapping"/>
      </w:r>
      <w:r>
        <w:rPr>
          <w:rFonts w:hint="eastAsia" w:ascii="宋体" w:hAnsi="宋体" w:eastAsia="宋体" w:cs="宋体"/>
          <w:kern w:val="0"/>
          <w:sz w:val="22"/>
        </w:rPr>
        <w:t xml:space="preserve">    2.上述评价标准中提及的“上一年度”：除经营能力数据及企业纳税等级信息外，均为企业申报日期前12个月；</w:t>
      </w:r>
      <w:r>
        <w:rPr>
          <w:rFonts w:hint="eastAsia" w:ascii="宋体" w:hAnsi="宋体" w:eastAsia="宋体" w:cs="宋体"/>
          <w:kern w:val="0"/>
          <w:sz w:val="22"/>
        </w:rPr>
        <w:br w:type="textWrapping"/>
      </w:r>
      <w:r>
        <w:rPr>
          <w:rFonts w:hint="eastAsia" w:ascii="宋体" w:hAnsi="宋体" w:eastAsia="宋体" w:cs="宋体"/>
          <w:kern w:val="0"/>
          <w:sz w:val="22"/>
        </w:rPr>
        <w:t xml:space="preserve">    3.得分合计100分，所有得分小数点后保留2位。</w:t>
      </w:r>
    </w:p>
    <w:p w14:paraId="692D0C54">
      <w:pPr>
        <w:jc w:val="left"/>
        <w:rPr>
          <w:rFonts w:ascii="宋体" w:hAnsi="宋体" w:eastAsia="宋体" w:cs="宋体"/>
          <w:kern w:val="0"/>
          <w:sz w:val="22"/>
        </w:rPr>
      </w:pPr>
    </w:p>
    <w:p w14:paraId="1201E1B8">
      <w:pPr>
        <w:jc w:val="left"/>
        <w:rPr>
          <w:rFonts w:ascii="宋体" w:hAnsi="宋体" w:eastAsia="宋体" w:cs="宋体"/>
          <w:kern w:val="0"/>
          <w:sz w:val="22"/>
        </w:rPr>
      </w:pPr>
    </w:p>
    <w:p w14:paraId="6698458F">
      <w:pPr>
        <w:jc w:val="left"/>
        <w:rPr>
          <w:rFonts w:ascii="宋体" w:hAnsi="宋体" w:eastAsia="宋体" w:cs="宋体"/>
          <w:kern w:val="0"/>
          <w:sz w:val="22"/>
        </w:rPr>
      </w:pPr>
    </w:p>
    <w:p w14:paraId="2FE36855">
      <w:pPr>
        <w:spacing w:line="578" w:lineRule="exact"/>
        <w:jc w:val="left"/>
        <w:rPr>
          <w:rFonts w:ascii="方正小标宋简体" w:hAnsi="方正小标宋简体" w:eastAsia="方正小标宋简体" w:cs="方正小标宋简体"/>
          <w:position w:val="-6"/>
          <w:sz w:val="32"/>
          <w:szCs w:val="32"/>
        </w:rPr>
      </w:pPr>
    </w:p>
    <w:p w14:paraId="797A93A6">
      <w:pPr>
        <w:spacing w:line="578" w:lineRule="exact"/>
        <w:jc w:val="left"/>
        <w:rPr>
          <w:rFonts w:ascii="方正小标宋简体" w:hAnsi="方正小标宋简体" w:eastAsia="方正小标宋简体" w:cs="方正小标宋简体"/>
          <w:position w:val="-6"/>
          <w:sz w:val="32"/>
          <w:szCs w:val="32"/>
        </w:rPr>
      </w:pPr>
      <w:r>
        <w:rPr>
          <w:rFonts w:hint="eastAsia" w:ascii="方正小标宋简体" w:hAnsi="方正小标宋简体" w:eastAsia="方正小标宋简体" w:cs="方正小标宋简体"/>
          <w:position w:val="-6"/>
          <w:sz w:val="32"/>
          <w:szCs w:val="32"/>
        </w:rPr>
        <w:t>附件2：</w:t>
      </w:r>
    </w:p>
    <w:p w14:paraId="767A3FEF">
      <w:pPr>
        <w:spacing w:line="578" w:lineRule="exact"/>
        <w:ind w:firstLine="720"/>
        <w:jc w:val="center"/>
        <w:rPr>
          <w:rFonts w:ascii="方正小标宋简体" w:hAnsi="方正小标宋简体" w:eastAsia="方正小标宋简体" w:cs="方正小标宋简体"/>
          <w:position w:val="-6"/>
          <w:sz w:val="32"/>
          <w:szCs w:val="32"/>
        </w:rPr>
      </w:pPr>
      <w:r>
        <w:rPr>
          <w:rFonts w:hint="eastAsia" w:ascii="方正小标宋简体" w:hAnsi="方正小标宋简体" w:eastAsia="方正小标宋简体" w:cs="方正小标宋简体"/>
          <w:position w:val="-6"/>
          <w:sz w:val="32"/>
          <w:szCs w:val="32"/>
        </w:rPr>
        <w:t>工程造价咨询企业营业收入及造价咨询业务收入评分表</w:t>
      </w:r>
    </w:p>
    <w:tbl>
      <w:tblPr>
        <w:tblStyle w:val="8"/>
        <w:tblW w:w="4521" w:type="pct"/>
        <w:jc w:val="center"/>
        <w:tblLayout w:type="fixed"/>
        <w:tblCellMar>
          <w:top w:w="0" w:type="dxa"/>
          <w:left w:w="0" w:type="dxa"/>
          <w:bottom w:w="0" w:type="dxa"/>
          <w:right w:w="0" w:type="dxa"/>
        </w:tblCellMar>
      </w:tblPr>
      <w:tblGrid>
        <w:gridCol w:w="1183"/>
        <w:gridCol w:w="3568"/>
        <w:gridCol w:w="1756"/>
        <w:gridCol w:w="3981"/>
        <w:gridCol w:w="2148"/>
      </w:tblGrid>
      <w:tr w14:paraId="0D9D2322">
        <w:tblPrEx>
          <w:tblCellMar>
            <w:top w:w="0" w:type="dxa"/>
            <w:left w:w="0" w:type="dxa"/>
            <w:bottom w:w="0" w:type="dxa"/>
            <w:right w:w="0" w:type="dxa"/>
          </w:tblCellMar>
        </w:tblPrEx>
        <w:trPr>
          <w:trHeight w:val="574" w:hRule="atLeast"/>
          <w:jc w:val="center"/>
        </w:trPr>
        <w:tc>
          <w:tcPr>
            <w:tcW w:w="1183" w:type="dxa"/>
            <w:tcBorders>
              <w:top w:val="single" w:color="000000" w:sz="8"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7BC4E36A">
            <w:pPr>
              <w:widowControl/>
              <w:spacing w:line="240" w:lineRule="exact"/>
              <w:ind w:left="7" w:leftChars="-7" w:hanging="22" w:hangingChars="10"/>
              <w:jc w:val="center"/>
              <w:textAlignment w:val="center"/>
              <w:rPr>
                <w:rFonts w:asciiTheme="minorEastAsia" w:hAnsiTheme="minorEastAsia" w:cstheme="minorEastAsia"/>
                <w:b/>
                <w:sz w:val="22"/>
              </w:rPr>
            </w:pPr>
            <w:r>
              <w:rPr>
                <w:rFonts w:hint="eastAsia" w:ascii="宋体" w:hAnsi="宋体" w:eastAsia="宋体" w:cs="宋体"/>
                <w:b/>
                <w:kern w:val="0"/>
                <w:sz w:val="22"/>
              </w:rPr>
              <w:t>序号</w:t>
            </w:r>
          </w:p>
        </w:tc>
        <w:tc>
          <w:tcPr>
            <w:tcW w:w="3571" w:type="dxa"/>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2AC64">
            <w:pPr>
              <w:widowControl/>
              <w:spacing w:line="240" w:lineRule="exact"/>
              <w:ind w:left="7" w:leftChars="-7" w:hanging="22" w:hangingChars="10"/>
              <w:jc w:val="center"/>
              <w:textAlignment w:val="center"/>
              <w:rPr>
                <w:rFonts w:asciiTheme="minorEastAsia" w:hAnsiTheme="minorEastAsia" w:cstheme="minorEastAsia"/>
                <w:b/>
                <w:sz w:val="22"/>
              </w:rPr>
            </w:pPr>
            <w:r>
              <w:rPr>
                <w:rFonts w:hint="eastAsia" w:ascii="宋体" w:hAnsi="宋体" w:eastAsia="宋体" w:cs="宋体"/>
                <w:b/>
                <w:sz w:val="22"/>
              </w:rPr>
              <w:t>营业收入（万元）</w:t>
            </w:r>
          </w:p>
        </w:tc>
        <w:tc>
          <w:tcPr>
            <w:tcW w:w="1757" w:type="dxa"/>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E9B1BF">
            <w:pPr>
              <w:widowControl/>
              <w:spacing w:line="240" w:lineRule="exact"/>
              <w:ind w:left="7" w:leftChars="-7" w:hanging="22" w:hangingChars="10"/>
              <w:jc w:val="center"/>
              <w:textAlignment w:val="center"/>
              <w:rPr>
                <w:rFonts w:asciiTheme="minorEastAsia" w:hAnsiTheme="minorEastAsia" w:cstheme="minorEastAsia"/>
                <w:b/>
                <w:sz w:val="22"/>
              </w:rPr>
            </w:pPr>
            <w:r>
              <w:rPr>
                <w:rFonts w:hint="eastAsia" w:ascii="宋体" w:hAnsi="宋体" w:eastAsia="宋体" w:cs="宋体"/>
                <w:b/>
                <w:kern w:val="0"/>
                <w:sz w:val="22"/>
              </w:rPr>
              <w:t>营业收入分值</w:t>
            </w:r>
          </w:p>
        </w:tc>
        <w:tc>
          <w:tcPr>
            <w:tcW w:w="3984" w:type="dxa"/>
            <w:tcBorders>
              <w:top w:val="single" w:color="000000" w:sz="8" w:space="0"/>
              <w:left w:val="single" w:color="000000" w:sz="4" w:space="0"/>
              <w:bottom w:val="single" w:color="000000" w:sz="4" w:space="0"/>
              <w:right w:val="single" w:color="000000" w:sz="4" w:space="0"/>
            </w:tcBorders>
            <w:vAlign w:val="center"/>
          </w:tcPr>
          <w:p w14:paraId="0AE7B5F6">
            <w:pPr>
              <w:widowControl/>
              <w:spacing w:line="240" w:lineRule="exact"/>
              <w:ind w:left="7" w:leftChars="-7" w:hanging="22" w:hangingChars="10"/>
              <w:jc w:val="center"/>
              <w:textAlignment w:val="center"/>
              <w:rPr>
                <w:rFonts w:asciiTheme="minorEastAsia" w:hAnsiTheme="minorEastAsia" w:cstheme="minorEastAsia"/>
                <w:b/>
                <w:kern w:val="0"/>
                <w:sz w:val="22"/>
              </w:rPr>
            </w:pPr>
            <w:r>
              <w:rPr>
                <w:rFonts w:hint="eastAsia" w:ascii="宋体" w:hAnsi="宋体" w:eastAsia="宋体" w:cs="宋体"/>
                <w:b/>
                <w:kern w:val="0"/>
                <w:sz w:val="22"/>
              </w:rPr>
              <w:t>造价咨询收入（万元）</w:t>
            </w:r>
          </w:p>
        </w:tc>
        <w:tc>
          <w:tcPr>
            <w:tcW w:w="2150" w:type="dxa"/>
            <w:tcBorders>
              <w:top w:val="single" w:color="000000" w:sz="8" w:space="0"/>
              <w:left w:val="single" w:color="000000" w:sz="4" w:space="0"/>
              <w:bottom w:val="single" w:color="000000" w:sz="4" w:space="0"/>
              <w:right w:val="single" w:color="000000" w:sz="4" w:space="0"/>
            </w:tcBorders>
            <w:vAlign w:val="center"/>
          </w:tcPr>
          <w:p w14:paraId="6F201200">
            <w:pPr>
              <w:widowControl/>
              <w:spacing w:line="240" w:lineRule="exact"/>
              <w:ind w:left="7" w:leftChars="-7" w:hanging="22" w:hangingChars="10"/>
              <w:jc w:val="center"/>
              <w:textAlignment w:val="center"/>
              <w:rPr>
                <w:rFonts w:ascii="Times New Roman" w:hAnsi="Times New Roman" w:eastAsia="仿宋_GB2312" w:cs="Times New Roman"/>
                <w:b/>
                <w:kern w:val="0"/>
                <w:sz w:val="24"/>
                <w:szCs w:val="24"/>
              </w:rPr>
            </w:pPr>
            <w:r>
              <w:rPr>
                <w:rFonts w:hint="eastAsia" w:ascii="宋体" w:hAnsi="宋体" w:eastAsia="宋体" w:cs="宋体"/>
                <w:b/>
                <w:kern w:val="0"/>
                <w:sz w:val="22"/>
              </w:rPr>
              <w:t>造价咨询收入分值</w:t>
            </w:r>
          </w:p>
        </w:tc>
      </w:tr>
      <w:tr w14:paraId="79B43E09">
        <w:tblPrEx>
          <w:tblCellMar>
            <w:top w:w="0" w:type="dxa"/>
            <w:left w:w="0" w:type="dxa"/>
            <w:bottom w:w="0" w:type="dxa"/>
            <w:right w:w="0" w:type="dxa"/>
          </w:tblCellMar>
        </w:tblPrEx>
        <w:trPr>
          <w:trHeight w:val="574" w:hRule="atLeast"/>
          <w:jc w:val="center"/>
        </w:trPr>
        <w:tc>
          <w:tcPr>
            <w:tcW w:w="1183"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268CD882">
            <w:pPr>
              <w:widowControl/>
              <w:spacing w:line="240" w:lineRule="exact"/>
              <w:ind w:left="7" w:leftChars="-7" w:hanging="22" w:hangingChars="10"/>
              <w:jc w:val="center"/>
              <w:textAlignment w:val="center"/>
              <w:rPr>
                <w:rFonts w:asciiTheme="minorEastAsia" w:hAnsiTheme="minorEastAsia" w:cstheme="minorEastAsia"/>
                <w:kern w:val="0"/>
                <w:sz w:val="22"/>
              </w:rPr>
            </w:pPr>
            <w:r>
              <w:rPr>
                <w:rFonts w:hint="eastAsia" w:ascii="宋体" w:hAnsi="宋体" w:eastAsia="宋体" w:cs="宋体"/>
                <w:kern w:val="0"/>
                <w:sz w:val="22"/>
              </w:rPr>
              <w:t>1</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0A6472">
            <w:pPr>
              <w:widowControl/>
              <w:spacing w:line="240" w:lineRule="exact"/>
              <w:ind w:left="7" w:leftChars="-7" w:hanging="22" w:hangingChars="10"/>
              <w:jc w:val="center"/>
              <w:textAlignment w:val="center"/>
              <w:rPr>
                <w:rStyle w:val="16"/>
                <w:rFonts w:hint="default" w:asciiTheme="minorEastAsia" w:hAnsiTheme="minorEastAsia" w:eastAsiaTheme="minorEastAsia" w:cstheme="minorEastAsia"/>
                <w:color w:val="auto"/>
                <w:sz w:val="22"/>
                <w:szCs w:val="22"/>
              </w:rPr>
            </w:pPr>
            <w:r>
              <w:rPr>
                <w:rStyle w:val="16"/>
                <w:rFonts w:hint="default"/>
                <w:color w:val="auto"/>
                <w:sz w:val="22"/>
                <w:szCs w:val="22"/>
              </w:rPr>
              <w:t>1500以上</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48D2F">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sz w:val="22"/>
              </w:rPr>
              <w:t>6</w:t>
            </w:r>
          </w:p>
        </w:tc>
        <w:tc>
          <w:tcPr>
            <w:tcW w:w="3984" w:type="dxa"/>
            <w:tcBorders>
              <w:top w:val="single" w:color="000000" w:sz="4" w:space="0"/>
              <w:left w:val="single" w:color="000000" w:sz="4" w:space="0"/>
              <w:bottom w:val="single" w:color="000000" w:sz="4" w:space="0"/>
              <w:right w:val="single" w:color="000000" w:sz="4" w:space="0"/>
            </w:tcBorders>
            <w:vAlign w:val="center"/>
          </w:tcPr>
          <w:p w14:paraId="3345E085">
            <w:pPr>
              <w:widowControl/>
              <w:spacing w:line="240" w:lineRule="exact"/>
              <w:ind w:left="7" w:leftChars="-7" w:hanging="22" w:hangingChars="10"/>
              <w:jc w:val="center"/>
              <w:textAlignment w:val="center"/>
              <w:rPr>
                <w:rStyle w:val="16"/>
                <w:rFonts w:hint="default" w:asciiTheme="minorEastAsia" w:hAnsiTheme="minorEastAsia" w:eastAsiaTheme="minorEastAsia" w:cstheme="minorEastAsia"/>
                <w:color w:val="auto"/>
                <w:sz w:val="22"/>
                <w:szCs w:val="22"/>
              </w:rPr>
            </w:pPr>
            <w:r>
              <w:rPr>
                <w:rStyle w:val="16"/>
                <w:rFonts w:hint="default"/>
                <w:color w:val="auto"/>
                <w:sz w:val="22"/>
                <w:szCs w:val="22"/>
              </w:rPr>
              <w:t>1000以上</w:t>
            </w:r>
          </w:p>
        </w:tc>
        <w:tc>
          <w:tcPr>
            <w:tcW w:w="2150" w:type="dxa"/>
            <w:tcBorders>
              <w:top w:val="single" w:color="000000" w:sz="4" w:space="0"/>
              <w:left w:val="single" w:color="000000" w:sz="4" w:space="0"/>
              <w:bottom w:val="single" w:color="000000" w:sz="4" w:space="0"/>
              <w:right w:val="single" w:color="000000" w:sz="4" w:space="0"/>
            </w:tcBorders>
            <w:vAlign w:val="center"/>
          </w:tcPr>
          <w:p w14:paraId="1617B4C0">
            <w:pPr>
              <w:widowControl/>
              <w:spacing w:line="240" w:lineRule="exact"/>
              <w:ind w:left="7" w:leftChars="-7" w:hanging="22" w:hangingChars="10"/>
              <w:jc w:val="center"/>
              <w:textAlignment w:val="center"/>
              <w:rPr>
                <w:rFonts w:asciiTheme="minorEastAsia" w:hAnsiTheme="minorEastAsia" w:cstheme="minorEastAsia"/>
                <w:sz w:val="24"/>
                <w:szCs w:val="24"/>
              </w:rPr>
            </w:pPr>
            <w:r>
              <w:rPr>
                <w:rFonts w:hint="eastAsia" w:ascii="宋体" w:hAnsi="宋体" w:eastAsia="宋体" w:cs="宋体"/>
                <w:sz w:val="22"/>
              </w:rPr>
              <w:t>12</w:t>
            </w:r>
          </w:p>
        </w:tc>
      </w:tr>
      <w:tr w14:paraId="1938395E">
        <w:tblPrEx>
          <w:tblCellMar>
            <w:top w:w="0" w:type="dxa"/>
            <w:left w:w="0" w:type="dxa"/>
            <w:bottom w:w="0" w:type="dxa"/>
            <w:right w:w="0" w:type="dxa"/>
          </w:tblCellMar>
        </w:tblPrEx>
        <w:trPr>
          <w:trHeight w:val="574" w:hRule="atLeast"/>
          <w:jc w:val="center"/>
        </w:trPr>
        <w:tc>
          <w:tcPr>
            <w:tcW w:w="1183"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56508ABB">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kern w:val="0"/>
                <w:sz w:val="22"/>
              </w:rPr>
              <w:t>2</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245E8">
            <w:pPr>
              <w:widowControl/>
              <w:spacing w:line="240" w:lineRule="exact"/>
              <w:ind w:left="7" w:leftChars="-7" w:hanging="22" w:hangingChars="10"/>
              <w:jc w:val="center"/>
              <w:textAlignment w:val="center"/>
              <w:rPr>
                <w:rFonts w:asciiTheme="minorEastAsia" w:hAnsiTheme="minorEastAsia" w:cstheme="minorEastAsia"/>
                <w:sz w:val="22"/>
              </w:rPr>
            </w:pPr>
            <w:r>
              <w:rPr>
                <w:rStyle w:val="16"/>
                <w:rFonts w:hint="default"/>
                <w:color w:val="auto"/>
                <w:sz w:val="22"/>
                <w:szCs w:val="22"/>
              </w:rPr>
              <w:t>1500（不含）</w:t>
            </w:r>
            <w:r>
              <w:rPr>
                <w:rStyle w:val="19"/>
                <w:color w:val="auto"/>
              </w:rPr>
              <w:t>~</w:t>
            </w:r>
            <w:r>
              <w:rPr>
                <w:rStyle w:val="16"/>
                <w:rFonts w:hint="default"/>
                <w:color w:val="auto"/>
                <w:sz w:val="22"/>
                <w:szCs w:val="22"/>
              </w:rPr>
              <w:t>1000（含）</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8750C">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sz w:val="22"/>
              </w:rPr>
              <w:t>5</w:t>
            </w:r>
          </w:p>
        </w:tc>
        <w:tc>
          <w:tcPr>
            <w:tcW w:w="3984" w:type="dxa"/>
            <w:tcBorders>
              <w:top w:val="single" w:color="000000" w:sz="4" w:space="0"/>
              <w:left w:val="single" w:color="000000" w:sz="4" w:space="0"/>
              <w:bottom w:val="single" w:color="000000" w:sz="4" w:space="0"/>
              <w:right w:val="single" w:color="000000" w:sz="4" w:space="0"/>
            </w:tcBorders>
            <w:vAlign w:val="center"/>
          </w:tcPr>
          <w:p w14:paraId="092F061C">
            <w:pPr>
              <w:widowControl/>
              <w:spacing w:line="240" w:lineRule="exact"/>
              <w:ind w:left="7" w:leftChars="-7" w:hanging="22" w:hangingChars="10"/>
              <w:jc w:val="center"/>
              <w:textAlignment w:val="center"/>
              <w:rPr>
                <w:rFonts w:asciiTheme="minorEastAsia" w:hAnsiTheme="minorEastAsia" w:cstheme="minorEastAsia"/>
                <w:sz w:val="22"/>
              </w:rPr>
            </w:pPr>
            <w:r>
              <w:rPr>
                <w:rStyle w:val="16"/>
                <w:rFonts w:hint="default"/>
                <w:color w:val="auto"/>
                <w:sz w:val="22"/>
                <w:szCs w:val="22"/>
              </w:rPr>
              <w:t>1000（不含）</w:t>
            </w:r>
            <w:r>
              <w:rPr>
                <w:rStyle w:val="19"/>
                <w:color w:val="auto"/>
              </w:rPr>
              <w:t>~</w:t>
            </w:r>
            <w:r>
              <w:rPr>
                <w:rStyle w:val="16"/>
                <w:rFonts w:hint="default"/>
                <w:color w:val="auto"/>
                <w:sz w:val="22"/>
                <w:szCs w:val="22"/>
              </w:rPr>
              <w:t>750（含）</w:t>
            </w:r>
          </w:p>
        </w:tc>
        <w:tc>
          <w:tcPr>
            <w:tcW w:w="2150" w:type="dxa"/>
            <w:tcBorders>
              <w:top w:val="single" w:color="000000" w:sz="4" w:space="0"/>
              <w:left w:val="single" w:color="000000" w:sz="4" w:space="0"/>
              <w:bottom w:val="single" w:color="000000" w:sz="4" w:space="0"/>
              <w:right w:val="single" w:color="000000" w:sz="4" w:space="0"/>
            </w:tcBorders>
            <w:vAlign w:val="center"/>
          </w:tcPr>
          <w:p w14:paraId="6E74B939">
            <w:pPr>
              <w:widowControl/>
              <w:spacing w:line="240" w:lineRule="exact"/>
              <w:ind w:left="7" w:leftChars="-7" w:hanging="22" w:hangingChars="10"/>
              <w:jc w:val="center"/>
              <w:textAlignment w:val="center"/>
              <w:rPr>
                <w:rFonts w:asciiTheme="minorEastAsia" w:hAnsiTheme="minorEastAsia" w:cstheme="minorEastAsia"/>
                <w:kern w:val="0"/>
                <w:sz w:val="24"/>
                <w:szCs w:val="24"/>
              </w:rPr>
            </w:pPr>
            <w:r>
              <w:rPr>
                <w:rFonts w:hint="eastAsia" w:ascii="宋体" w:hAnsi="宋体" w:eastAsia="宋体" w:cs="宋体"/>
                <w:kern w:val="0"/>
                <w:sz w:val="22"/>
              </w:rPr>
              <w:t>10</w:t>
            </w:r>
          </w:p>
        </w:tc>
      </w:tr>
      <w:tr w14:paraId="33D956BA">
        <w:tblPrEx>
          <w:tblCellMar>
            <w:top w:w="0" w:type="dxa"/>
            <w:left w:w="0" w:type="dxa"/>
            <w:bottom w:w="0" w:type="dxa"/>
            <w:right w:w="0" w:type="dxa"/>
          </w:tblCellMar>
        </w:tblPrEx>
        <w:trPr>
          <w:trHeight w:val="574" w:hRule="atLeast"/>
          <w:jc w:val="center"/>
        </w:trPr>
        <w:tc>
          <w:tcPr>
            <w:tcW w:w="1183"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43043F96">
            <w:pPr>
              <w:widowControl/>
              <w:spacing w:line="240" w:lineRule="exact"/>
              <w:ind w:left="7" w:leftChars="-7" w:hanging="22" w:hangingChars="10"/>
              <w:jc w:val="center"/>
              <w:textAlignment w:val="center"/>
              <w:rPr>
                <w:rFonts w:asciiTheme="minorEastAsia" w:hAnsiTheme="minorEastAsia" w:cstheme="minorEastAsia"/>
                <w:kern w:val="0"/>
                <w:sz w:val="22"/>
              </w:rPr>
            </w:pPr>
            <w:r>
              <w:rPr>
                <w:rFonts w:hint="eastAsia" w:ascii="宋体" w:hAnsi="宋体" w:eastAsia="宋体" w:cs="宋体"/>
                <w:kern w:val="0"/>
                <w:sz w:val="22"/>
              </w:rPr>
              <w:t>3</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447DE3">
            <w:pPr>
              <w:widowControl/>
              <w:spacing w:line="240" w:lineRule="exact"/>
              <w:ind w:left="7" w:leftChars="-7" w:hanging="22" w:hangingChars="10"/>
              <w:jc w:val="center"/>
              <w:textAlignment w:val="center"/>
              <w:rPr>
                <w:rStyle w:val="16"/>
                <w:rFonts w:hint="default" w:asciiTheme="minorEastAsia" w:hAnsiTheme="minorEastAsia" w:eastAsiaTheme="minorEastAsia" w:cstheme="minorEastAsia"/>
                <w:color w:val="auto"/>
                <w:sz w:val="22"/>
                <w:szCs w:val="22"/>
              </w:rPr>
            </w:pPr>
            <w:r>
              <w:rPr>
                <w:rStyle w:val="16"/>
                <w:rFonts w:hint="default"/>
                <w:color w:val="auto"/>
                <w:sz w:val="22"/>
                <w:szCs w:val="22"/>
              </w:rPr>
              <w:t>1000（不含）</w:t>
            </w:r>
            <w:r>
              <w:rPr>
                <w:rStyle w:val="19"/>
                <w:color w:val="auto"/>
              </w:rPr>
              <w:t>~</w:t>
            </w:r>
            <w:r>
              <w:rPr>
                <w:rStyle w:val="16"/>
                <w:rFonts w:hint="default"/>
                <w:color w:val="auto"/>
                <w:sz w:val="22"/>
                <w:szCs w:val="22"/>
              </w:rPr>
              <w:t>700（含）</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A26C8D">
            <w:pPr>
              <w:widowControl/>
              <w:spacing w:line="240" w:lineRule="exact"/>
              <w:ind w:left="7" w:leftChars="-7" w:hanging="22" w:hangingChars="10"/>
              <w:jc w:val="center"/>
              <w:textAlignment w:val="center"/>
              <w:rPr>
                <w:rFonts w:asciiTheme="minorEastAsia" w:hAnsiTheme="minorEastAsia" w:cstheme="minorEastAsia"/>
                <w:kern w:val="0"/>
                <w:sz w:val="22"/>
              </w:rPr>
            </w:pPr>
            <w:r>
              <w:rPr>
                <w:rFonts w:hint="eastAsia" w:ascii="宋体" w:hAnsi="宋体" w:eastAsia="宋体" w:cs="宋体"/>
                <w:kern w:val="0"/>
                <w:sz w:val="22"/>
              </w:rPr>
              <w:t>4</w:t>
            </w:r>
          </w:p>
        </w:tc>
        <w:tc>
          <w:tcPr>
            <w:tcW w:w="3984" w:type="dxa"/>
            <w:tcBorders>
              <w:top w:val="single" w:color="000000" w:sz="4" w:space="0"/>
              <w:left w:val="single" w:color="000000" w:sz="4" w:space="0"/>
              <w:bottom w:val="single" w:color="000000" w:sz="4" w:space="0"/>
              <w:right w:val="single" w:color="000000" w:sz="4" w:space="0"/>
            </w:tcBorders>
            <w:vAlign w:val="center"/>
          </w:tcPr>
          <w:p w14:paraId="44C868B9">
            <w:pPr>
              <w:widowControl/>
              <w:spacing w:line="240" w:lineRule="exact"/>
              <w:ind w:left="7" w:leftChars="-7" w:hanging="22" w:hangingChars="10"/>
              <w:jc w:val="center"/>
              <w:textAlignment w:val="center"/>
              <w:rPr>
                <w:rStyle w:val="16"/>
                <w:rFonts w:hint="default" w:asciiTheme="minorEastAsia" w:hAnsiTheme="minorEastAsia" w:eastAsiaTheme="minorEastAsia" w:cstheme="minorEastAsia"/>
                <w:color w:val="auto"/>
                <w:sz w:val="22"/>
                <w:szCs w:val="22"/>
              </w:rPr>
            </w:pPr>
            <w:r>
              <w:rPr>
                <w:rStyle w:val="16"/>
                <w:rFonts w:hint="default"/>
                <w:color w:val="auto"/>
                <w:sz w:val="22"/>
                <w:szCs w:val="22"/>
              </w:rPr>
              <w:t>750（不含）</w:t>
            </w:r>
            <w:r>
              <w:rPr>
                <w:rStyle w:val="19"/>
                <w:color w:val="auto"/>
              </w:rPr>
              <w:t>~</w:t>
            </w:r>
            <w:r>
              <w:rPr>
                <w:rStyle w:val="16"/>
                <w:rFonts w:hint="default"/>
                <w:color w:val="auto"/>
                <w:sz w:val="22"/>
                <w:szCs w:val="22"/>
              </w:rPr>
              <w:t>550（含）</w:t>
            </w:r>
          </w:p>
        </w:tc>
        <w:tc>
          <w:tcPr>
            <w:tcW w:w="2150" w:type="dxa"/>
            <w:tcBorders>
              <w:top w:val="single" w:color="000000" w:sz="4" w:space="0"/>
              <w:left w:val="single" w:color="000000" w:sz="4" w:space="0"/>
              <w:bottom w:val="single" w:color="000000" w:sz="4" w:space="0"/>
              <w:right w:val="single" w:color="000000" w:sz="4" w:space="0"/>
            </w:tcBorders>
            <w:vAlign w:val="center"/>
          </w:tcPr>
          <w:p w14:paraId="22910C50">
            <w:pPr>
              <w:widowControl/>
              <w:spacing w:line="240" w:lineRule="exact"/>
              <w:ind w:left="7" w:leftChars="-7" w:hanging="22" w:hangingChars="10"/>
              <w:jc w:val="center"/>
              <w:textAlignment w:val="center"/>
              <w:rPr>
                <w:rFonts w:asciiTheme="minorEastAsia" w:hAnsiTheme="minorEastAsia" w:cstheme="minorEastAsia"/>
                <w:kern w:val="0"/>
                <w:sz w:val="24"/>
                <w:szCs w:val="24"/>
              </w:rPr>
            </w:pPr>
            <w:r>
              <w:rPr>
                <w:rFonts w:hint="eastAsia" w:ascii="宋体" w:hAnsi="宋体" w:eastAsia="宋体" w:cs="宋体"/>
                <w:kern w:val="0"/>
                <w:sz w:val="22"/>
              </w:rPr>
              <w:t>8</w:t>
            </w:r>
          </w:p>
        </w:tc>
      </w:tr>
      <w:tr w14:paraId="354A6DEC">
        <w:tblPrEx>
          <w:tblCellMar>
            <w:top w:w="0" w:type="dxa"/>
            <w:left w:w="0" w:type="dxa"/>
            <w:bottom w:w="0" w:type="dxa"/>
            <w:right w:w="0" w:type="dxa"/>
          </w:tblCellMar>
        </w:tblPrEx>
        <w:trPr>
          <w:trHeight w:val="574" w:hRule="atLeast"/>
          <w:jc w:val="center"/>
        </w:trPr>
        <w:tc>
          <w:tcPr>
            <w:tcW w:w="1183"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3963442F">
            <w:pPr>
              <w:widowControl/>
              <w:spacing w:line="240" w:lineRule="exact"/>
              <w:ind w:left="7" w:leftChars="-7" w:hanging="22" w:hangingChars="10"/>
              <w:jc w:val="center"/>
              <w:textAlignment w:val="center"/>
              <w:rPr>
                <w:rFonts w:asciiTheme="minorEastAsia" w:hAnsiTheme="minorEastAsia" w:cstheme="minorEastAsia"/>
                <w:kern w:val="0"/>
                <w:sz w:val="22"/>
              </w:rPr>
            </w:pPr>
            <w:r>
              <w:rPr>
                <w:rFonts w:hint="eastAsia" w:ascii="宋体" w:hAnsi="宋体" w:eastAsia="宋体" w:cs="宋体"/>
                <w:kern w:val="0"/>
                <w:sz w:val="22"/>
              </w:rPr>
              <w:t>4</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65E80">
            <w:pPr>
              <w:widowControl/>
              <w:spacing w:line="240" w:lineRule="exact"/>
              <w:ind w:left="7" w:leftChars="-7" w:hanging="22" w:hangingChars="10"/>
              <w:jc w:val="center"/>
              <w:textAlignment w:val="center"/>
              <w:rPr>
                <w:rStyle w:val="16"/>
                <w:rFonts w:hint="default" w:asciiTheme="minorEastAsia" w:hAnsiTheme="minorEastAsia" w:eastAsiaTheme="minorEastAsia" w:cstheme="minorEastAsia"/>
                <w:color w:val="auto"/>
                <w:sz w:val="22"/>
                <w:szCs w:val="22"/>
              </w:rPr>
            </w:pPr>
            <w:r>
              <w:rPr>
                <w:rStyle w:val="16"/>
                <w:rFonts w:hint="default"/>
                <w:color w:val="auto"/>
                <w:sz w:val="22"/>
                <w:szCs w:val="22"/>
              </w:rPr>
              <w:t>700（不含）</w:t>
            </w:r>
            <w:r>
              <w:rPr>
                <w:rStyle w:val="19"/>
                <w:color w:val="auto"/>
              </w:rPr>
              <w:t>~</w:t>
            </w:r>
            <w:r>
              <w:rPr>
                <w:rStyle w:val="20"/>
                <w:rFonts w:hint="default"/>
                <w:b w:val="0"/>
                <w:bCs w:val="0"/>
                <w:color w:val="auto"/>
                <w:sz w:val="22"/>
                <w:szCs w:val="22"/>
              </w:rPr>
              <w:t>500</w:t>
            </w:r>
            <w:r>
              <w:rPr>
                <w:rStyle w:val="16"/>
                <w:rFonts w:hint="default"/>
                <w:color w:val="auto"/>
                <w:sz w:val="22"/>
                <w:szCs w:val="22"/>
              </w:rPr>
              <w:t>（含）</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AD9BD4">
            <w:pPr>
              <w:widowControl/>
              <w:spacing w:line="240" w:lineRule="exact"/>
              <w:ind w:left="7" w:leftChars="-7" w:hanging="22" w:hangingChars="10"/>
              <w:jc w:val="center"/>
              <w:textAlignment w:val="center"/>
              <w:rPr>
                <w:rFonts w:asciiTheme="minorEastAsia" w:hAnsiTheme="minorEastAsia" w:cstheme="minorEastAsia"/>
                <w:kern w:val="0"/>
                <w:sz w:val="22"/>
              </w:rPr>
            </w:pPr>
            <w:r>
              <w:rPr>
                <w:rFonts w:hint="eastAsia" w:ascii="宋体" w:hAnsi="宋体" w:eastAsia="宋体" w:cs="宋体"/>
                <w:kern w:val="0"/>
                <w:sz w:val="22"/>
              </w:rPr>
              <w:t>3</w:t>
            </w:r>
          </w:p>
        </w:tc>
        <w:tc>
          <w:tcPr>
            <w:tcW w:w="3984" w:type="dxa"/>
            <w:tcBorders>
              <w:top w:val="single" w:color="000000" w:sz="4" w:space="0"/>
              <w:left w:val="single" w:color="000000" w:sz="4" w:space="0"/>
              <w:bottom w:val="single" w:color="000000" w:sz="4" w:space="0"/>
              <w:right w:val="single" w:color="000000" w:sz="4" w:space="0"/>
            </w:tcBorders>
            <w:vAlign w:val="center"/>
          </w:tcPr>
          <w:p w14:paraId="52241087">
            <w:pPr>
              <w:widowControl/>
              <w:spacing w:line="240" w:lineRule="exact"/>
              <w:ind w:left="7" w:leftChars="-7" w:hanging="22" w:hangingChars="10"/>
              <w:jc w:val="center"/>
              <w:textAlignment w:val="center"/>
              <w:rPr>
                <w:rStyle w:val="16"/>
                <w:rFonts w:hint="default" w:asciiTheme="minorEastAsia" w:hAnsiTheme="minorEastAsia" w:eastAsiaTheme="minorEastAsia" w:cstheme="minorEastAsia"/>
                <w:color w:val="auto"/>
                <w:sz w:val="22"/>
                <w:szCs w:val="22"/>
              </w:rPr>
            </w:pPr>
            <w:r>
              <w:rPr>
                <w:rStyle w:val="16"/>
                <w:rFonts w:hint="default"/>
                <w:color w:val="auto"/>
                <w:sz w:val="22"/>
                <w:szCs w:val="22"/>
              </w:rPr>
              <w:t>550（不含）</w:t>
            </w:r>
            <w:r>
              <w:rPr>
                <w:rStyle w:val="19"/>
                <w:color w:val="auto"/>
              </w:rPr>
              <w:t>~</w:t>
            </w:r>
            <w:r>
              <w:rPr>
                <w:rStyle w:val="20"/>
                <w:rFonts w:hint="default"/>
                <w:b w:val="0"/>
                <w:bCs w:val="0"/>
                <w:color w:val="auto"/>
                <w:sz w:val="22"/>
                <w:szCs w:val="22"/>
              </w:rPr>
              <w:t>400</w:t>
            </w:r>
            <w:r>
              <w:rPr>
                <w:rStyle w:val="16"/>
                <w:rFonts w:hint="default"/>
                <w:color w:val="auto"/>
                <w:sz w:val="22"/>
                <w:szCs w:val="22"/>
              </w:rPr>
              <w:t>（含）</w:t>
            </w:r>
          </w:p>
        </w:tc>
        <w:tc>
          <w:tcPr>
            <w:tcW w:w="2150" w:type="dxa"/>
            <w:tcBorders>
              <w:top w:val="single" w:color="000000" w:sz="4" w:space="0"/>
              <w:left w:val="single" w:color="000000" w:sz="4" w:space="0"/>
              <w:bottom w:val="single" w:color="000000" w:sz="4" w:space="0"/>
              <w:right w:val="single" w:color="000000" w:sz="4" w:space="0"/>
            </w:tcBorders>
            <w:vAlign w:val="center"/>
          </w:tcPr>
          <w:p w14:paraId="51C32AB6">
            <w:pPr>
              <w:widowControl/>
              <w:spacing w:line="240" w:lineRule="exact"/>
              <w:ind w:left="7" w:leftChars="-7" w:hanging="22" w:hangingChars="10"/>
              <w:jc w:val="center"/>
              <w:textAlignment w:val="center"/>
              <w:rPr>
                <w:rFonts w:asciiTheme="minorEastAsia" w:hAnsiTheme="minorEastAsia" w:cstheme="minorEastAsia"/>
                <w:sz w:val="24"/>
                <w:szCs w:val="24"/>
              </w:rPr>
            </w:pPr>
            <w:r>
              <w:rPr>
                <w:rFonts w:hint="eastAsia" w:ascii="宋体" w:hAnsi="宋体" w:eastAsia="宋体" w:cs="宋体"/>
                <w:sz w:val="22"/>
              </w:rPr>
              <w:t>6</w:t>
            </w:r>
          </w:p>
        </w:tc>
      </w:tr>
      <w:tr w14:paraId="426B3845">
        <w:tblPrEx>
          <w:tblCellMar>
            <w:top w:w="0" w:type="dxa"/>
            <w:left w:w="0" w:type="dxa"/>
            <w:bottom w:w="0" w:type="dxa"/>
            <w:right w:w="0" w:type="dxa"/>
          </w:tblCellMar>
        </w:tblPrEx>
        <w:trPr>
          <w:trHeight w:val="574" w:hRule="atLeast"/>
          <w:jc w:val="center"/>
        </w:trPr>
        <w:tc>
          <w:tcPr>
            <w:tcW w:w="1183"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6FA90AD0">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kern w:val="0"/>
                <w:sz w:val="22"/>
              </w:rPr>
              <w:t>5</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08E5C">
            <w:pPr>
              <w:widowControl/>
              <w:spacing w:line="240" w:lineRule="exact"/>
              <w:ind w:left="7" w:leftChars="-7" w:hanging="22" w:hangingChars="10"/>
              <w:jc w:val="center"/>
              <w:textAlignment w:val="center"/>
              <w:rPr>
                <w:rFonts w:asciiTheme="minorEastAsia" w:hAnsiTheme="minorEastAsia" w:cstheme="minorEastAsia"/>
                <w:sz w:val="22"/>
              </w:rPr>
            </w:pPr>
            <w:r>
              <w:rPr>
                <w:rStyle w:val="20"/>
                <w:rFonts w:hint="default"/>
                <w:b w:val="0"/>
                <w:bCs w:val="0"/>
                <w:color w:val="auto"/>
                <w:sz w:val="22"/>
                <w:szCs w:val="22"/>
              </w:rPr>
              <w:t>500</w:t>
            </w:r>
            <w:r>
              <w:rPr>
                <w:rStyle w:val="16"/>
                <w:rFonts w:hint="default"/>
                <w:color w:val="auto"/>
                <w:sz w:val="22"/>
                <w:szCs w:val="22"/>
              </w:rPr>
              <w:t>（不含）</w:t>
            </w:r>
            <w:r>
              <w:rPr>
                <w:rStyle w:val="19"/>
                <w:color w:val="auto"/>
              </w:rPr>
              <w:t>~</w:t>
            </w:r>
            <w:r>
              <w:rPr>
                <w:rStyle w:val="20"/>
                <w:rFonts w:hint="default"/>
                <w:b w:val="0"/>
                <w:bCs w:val="0"/>
                <w:color w:val="auto"/>
                <w:sz w:val="22"/>
                <w:szCs w:val="22"/>
              </w:rPr>
              <w:t>300</w:t>
            </w:r>
            <w:r>
              <w:rPr>
                <w:rStyle w:val="16"/>
                <w:rFonts w:hint="default"/>
                <w:color w:val="auto"/>
                <w:sz w:val="22"/>
                <w:szCs w:val="22"/>
              </w:rPr>
              <w:t>（含）</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892A0C">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sz w:val="22"/>
              </w:rPr>
              <w:t>2</w:t>
            </w:r>
          </w:p>
        </w:tc>
        <w:tc>
          <w:tcPr>
            <w:tcW w:w="3984" w:type="dxa"/>
            <w:tcBorders>
              <w:top w:val="single" w:color="000000" w:sz="4" w:space="0"/>
              <w:left w:val="single" w:color="000000" w:sz="4" w:space="0"/>
              <w:bottom w:val="single" w:color="000000" w:sz="4" w:space="0"/>
              <w:right w:val="single" w:color="000000" w:sz="4" w:space="0"/>
            </w:tcBorders>
            <w:vAlign w:val="center"/>
          </w:tcPr>
          <w:p w14:paraId="24085A32">
            <w:pPr>
              <w:widowControl/>
              <w:spacing w:line="240" w:lineRule="exact"/>
              <w:ind w:left="7" w:leftChars="-7" w:hanging="22" w:hangingChars="10"/>
              <w:jc w:val="center"/>
              <w:textAlignment w:val="center"/>
              <w:rPr>
                <w:rFonts w:asciiTheme="minorEastAsia" w:hAnsiTheme="minorEastAsia" w:cstheme="minorEastAsia"/>
                <w:sz w:val="22"/>
              </w:rPr>
            </w:pPr>
            <w:r>
              <w:rPr>
                <w:rStyle w:val="20"/>
                <w:rFonts w:hint="default"/>
                <w:b w:val="0"/>
                <w:bCs w:val="0"/>
                <w:color w:val="auto"/>
                <w:sz w:val="22"/>
                <w:szCs w:val="22"/>
              </w:rPr>
              <w:t>400</w:t>
            </w:r>
            <w:r>
              <w:rPr>
                <w:rStyle w:val="16"/>
                <w:rFonts w:hint="default"/>
                <w:color w:val="auto"/>
                <w:sz w:val="22"/>
                <w:szCs w:val="22"/>
              </w:rPr>
              <w:t>（不含）</w:t>
            </w:r>
            <w:r>
              <w:rPr>
                <w:rStyle w:val="19"/>
                <w:color w:val="auto"/>
              </w:rPr>
              <w:t>~</w:t>
            </w:r>
            <w:r>
              <w:rPr>
                <w:rStyle w:val="20"/>
                <w:rFonts w:hint="default"/>
                <w:b w:val="0"/>
                <w:bCs w:val="0"/>
                <w:color w:val="auto"/>
                <w:sz w:val="22"/>
                <w:szCs w:val="22"/>
              </w:rPr>
              <w:t>200</w:t>
            </w:r>
            <w:r>
              <w:rPr>
                <w:rStyle w:val="16"/>
                <w:rFonts w:hint="default"/>
                <w:color w:val="auto"/>
                <w:sz w:val="22"/>
                <w:szCs w:val="22"/>
              </w:rPr>
              <w:t>（含）</w:t>
            </w:r>
          </w:p>
        </w:tc>
        <w:tc>
          <w:tcPr>
            <w:tcW w:w="2150" w:type="dxa"/>
            <w:tcBorders>
              <w:top w:val="single" w:color="000000" w:sz="4" w:space="0"/>
              <w:left w:val="single" w:color="000000" w:sz="4" w:space="0"/>
              <w:bottom w:val="single" w:color="000000" w:sz="4" w:space="0"/>
              <w:right w:val="single" w:color="000000" w:sz="4" w:space="0"/>
            </w:tcBorders>
            <w:vAlign w:val="center"/>
          </w:tcPr>
          <w:p w14:paraId="16DF9A01">
            <w:pPr>
              <w:widowControl/>
              <w:spacing w:line="240" w:lineRule="exact"/>
              <w:ind w:left="7" w:leftChars="-7" w:hanging="22" w:hangingChars="10"/>
              <w:jc w:val="center"/>
              <w:textAlignment w:val="center"/>
              <w:rPr>
                <w:rFonts w:asciiTheme="minorEastAsia" w:hAnsiTheme="minorEastAsia" w:cstheme="minorEastAsia"/>
                <w:sz w:val="24"/>
                <w:szCs w:val="24"/>
              </w:rPr>
            </w:pPr>
            <w:r>
              <w:rPr>
                <w:rFonts w:hint="eastAsia" w:ascii="宋体" w:hAnsi="宋体" w:eastAsia="宋体" w:cs="宋体"/>
                <w:sz w:val="22"/>
              </w:rPr>
              <w:t>4</w:t>
            </w:r>
          </w:p>
        </w:tc>
      </w:tr>
      <w:tr w14:paraId="7F84CDF3">
        <w:tblPrEx>
          <w:tblCellMar>
            <w:top w:w="0" w:type="dxa"/>
            <w:left w:w="0" w:type="dxa"/>
            <w:bottom w:w="0" w:type="dxa"/>
            <w:right w:w="0" w:type="dxa"/>
          </w:tblCellMar>
        </w:tblPrEx>
        <w:trPr>
          <w:trHeight w:val="574" w:hRule="atLeast"/>
          <w:jc w:val="center"/>
        </w:trPr>
        <w:tc>
          <w:tcPr>
            <w:tcW w:w="1183"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201FD1F1">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kern w:val="0"/>
                <w:sz w:val="22"/>
              </w:rPr>
              <w:t>6</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A22AD">
            <w:pPr>
              <w:widowControl/>
              <w:spacing w:line="240" w:lineRule="exact"/>
              <w:ind w:left="7" w:leftChars="-7" w:hanging="22" w:hangingChars="10"/>
              <w:jc w:val="center"/>
              <w:textAlignment w:val="center"/>
              <w:rPr>
                <w:rFonts w:asciiTheme="minorEastAsia" w:hAnsiTheme="minorEastAsia" w:cstheme="minorEastAsia"/>
                <w:sz w:val="22"/>
              </w:rPr>
            </w:pPr>
            <w:r>
              <w:rPr>
                <w:rStyle w:val="16"/>
                <w:rFonts w:hint="default"/>
                <w:color w:val="auto"/>
                <w:sz w:val="22"/>
                <w:szCs w:val="22"/>
              </w:rPr>
              <w:t>300（不含）</w:t>
            </w:r>
            <w:r>
              <w:rPr>
                <w:rStyle w:val="19"/>
                <w:color w:val="auto"/>
              </w:rPr>
              <w:t>~</w:t>
            </w:r>
            <w:r>
              <w:rPr>
                <w:rStyle w:val="20"/>
                <w:rFonts w:hint="default"/>
                <w:b w:val="0"/>
                <w:bCs w:val="0"/>
                <w:color w:val="auto"/>
                <w:sz w:val="22"/>
                <w:szCs w:val="22"/>
              </w:rPr>
              <w:t>150</w:t>
            </w:r>
            <w:r>
              <w:rPr>
                <w:rStyle w:val="16"/>
                <w:rFonts w:hint="default"/>
                <w:color w:val="auto"/>
                <w:sz w:val="22"/>
                <w:szCs w:val="22"/>
              </w:rPr>
              <w:t>（含）</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7D031">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sz w:val="22"/>
              </w:rPr>
              <w:t>1</w:t>
            </w:r>
          </w:p>
        </w:tc>
        <w:tc>
          <w:tcPr>
            <w:tcW w:w="3984" w:type="dxa"/>
            <w:tcBorders>
              <w:top w:val="single" w:color="000000" w:sz="4" w:space="0"/>
              <w:left w:val="single" w:color="000000" w:sz="4" w:space="0"/>
              <w:bottom w:val="single" w:color="000000" w:sz="4" w:space="0"/>
              <w:right w:val="single" w:color="000000" w:sz="4" w:space="0"/>
            </w:tcBorders>
            <w:vAlign w:val="center"/>
          </w:tcPr>
          <w:p w14:paraId="6B3F1D6F">
            <w:pPr>
              <w:widowControl/>
              <w:spacing w:line="240" w:lineRule="exact"/>
              <w:ind w:left="7" w:leftChars="-7" w:hanging="22" w:hangingChars="10"/>
              <w:jc w:val="center"/>
              <w:textAlignment w:val="center"/>
              <w:rPr>
                <w:rFonts w:asciiTheme="minorEastAsia" w:hAnsiTheme="minorEastAsia" w:cstheme="minorEastAsia"/>
                <w:sz w:val="22"/>
              </w:rPr>
            </w:pPr>
            <w:r>
              <w:rPr>
                <w:rStyle w:val="16"/>
                <w:rFonts w:hint="default"/>
                <w:color w:val="auto"/>
                <w:sz w:val="22"/>
                <w:szCs w:val="22"/>
              </w:rPr>
              <w:t>200（不含）</w:t>
            </w:r>
            <w:r>
              <w:rPr>
                <w:rStyle w:val="19"/>
                <w:color w:val="auto"/>
              </w:rPr>
              <w:t>~</w:t>
            </w:r>
            <w:r>
              <w:rPr>
                <w:rStyle w:val="20"/>
                <w:rFonts w:hint="default"/>
                <w:b w:val="0"/>
                <w:bCs w:val="0"/>
                <w:color w:val="auto"/>
                <w:sz w:val="22"/>
                <w:szCs w:val="22"/>
              </w:rPr>
              <w:t>50</w:t>
            </w:r>
            <w:r>
              <w:rPr>
                <w:rStyle w:val="16"/>
                <w:rFonts w:hint="default"/>
                <w:color w:val="auto"/>
                <w:sz w:val="22"/>
                <w:szCs w:val="22"/>
              </w:rPr>
              <w:t>（含）</w:t>
            </w:r>
          </w:p>
        </w:tc>
        <w:tc>
          <w:tcPr>
            <w:tcW w:w="2150" w:type="dxa"/>
            <w:tcBorders>
              <w:top w:val="single" w:color="000000" w:sz="4" w:space="0"/>
              <w:left w:val="single" w:color="000000" w:sz="4" w:space="0"/>
              <w:bottom w:val="single" w:color="000000" w:sz="4" w:space="0"/>
              <w:right w:val="single" w:color="000000" w:sz="4" w:space="0"/>
            </w:tcBorders>
            <w:vAlign w:val="center"/>
          </w:tcPr>
          <w:p w14:paraId="58CEC8F5">
            <w:pPr>
              <w:widowControl/>
              <w:spacing w:line="240" w:lineRule="exact"/>
              <w:ind w:left="7" w:leftChars="-7" w:hanging="22" w:hangingChars="10"/>
              <w:jc w:val="center"/>
              <w:textAlignment w:val="center"/>
              <w:rPr>
                <w:rFonts w:asciiTheme="minorEastAsia" w:hAnsiTheme="minorEastAsia" w:cstheme="minorEastAsia"/>
                <w:sz w:val="24"/>
                <w:szCs w:val="24"/>
              </w:rPr>
            </w:pPr>
            <w:r>
              <w:rPr>
                <w:rFonts w:hint="eastAsia" w:ascii="宋体" w:hAnsi="宋体" w:eastAsia="宋体" w:cs="宋体"/>
                <w:sz w:val="22"/>
              </w:rPr>
              <w:t>2</w:t>
            </w:r>
          </w:p>
        </w:tc>
      </w:tr>
      <w:tr w14:paraId="644D0994">
        <w:tblPrEx>
          <w:tblCellMar>
            <w:top w:w="0" w:type="dxa"/>
            <w:left w:w="0" w:type="dxa"/>
            <w:bottom w:w="0" w:type="dxa"/>
            <w:right w:w="0" w:type="dxa"/>
          </w:tblCellMar>
        </w:tblPrEx>
        <w:trPr>
          <w:trHeight w:val="574" w:hRule="atLeast"/>
          <w:jc w:val="center"/>
        </w:trPr>
        <w:tc>
          <w:tcPr>
            <w:tcW w:w="1183"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7604C3B8">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kern w:val="0"/>
                <w:sz w:val="22"/>
              </w:rPr>
              <w:t>7</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228EF">
            <w:pPr>
              <w:widowControl/>
              <w:spacing w:line="240" w:lineRule="exact"/>
              <w:ind w:left="7" w:leftChars="-7" w:hanging="22" w:hangingChars="10"/>
              <w:jc w:val="center"/>
              <w:textAlignment w:val="center"/>
              <w:rPr>
                <w:rFonts w:asciiTheme="minorEastAsia" w:hAnsiTheme="minorEastAsia" w:cstheme="minorEastAsia"/>
                <w:sz w:val="22"/>
              </w:rPr>
            </w:pPr>
            <w:r>
              <w:rPr>
                <w:rStyle w:val="16"/>
                <w:rFonts w:hint="default"/>
                <w:color w:val="auto"/>
                <w:sz w:val="22"/>
                <w:szCs w:val="22"/>
              </w:rPr>
              <w:t>150以下</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9E970">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sz w:val="22"/>
              </w:rPr>
              <w:t>0.5</w:t>
            </w:r>
          </w:p>
        </w:tc>
        <w:tc>
          <w:tcPr>
            <w:tcW w:w="3984" w:type="dxa"/>
            <w:tcBorders>
              <w:top w:val="single" w:color="000000" w:sz="4" w:space="0"/>
              <w:left w:val="single" w:color="000000" w:sz="4" w:space="0"/>
              <w:bottom w:val="single" w:color="000000" w:sz="4" w:space="0"/>
              <w:right w:val="single" w:color="000000" w:sz="4" w:space="0"/>
            </w:tcBorders>
            <w:vAlign w:val="center"/>
          </w:tcPr>
          <w:p w14:paraId="1DF94873">
            <w:pPr>
              <w:widowControl/>
              <w:spacing w:line="240" w:lineRule="exact"/>
              <w:ind w:left="7" w:leftChars="-7" w:hanging="22" w:hangingChars="10"/>
              <w:jc w:val="center"/>
              <w:textAlignment w:val="center"/>
              <w:rPr>
                <w:rFonts w:asciiTheme="minorEastAsia" w:hAnsiTheme="minorEastAsia" w:cstheme="minorEastAsia"/>
                <w:sz w:val="22"/>
              </w:rPr>
            </w:pPr>
            <w:r>
              <w:rPr>
                <w:rStyle w:val="16"/>
                <w:rFonts w:hint="default"/>
                <w:color w:val="auto"/>
                <w:sz w:val="22"/>
                <w:szCs w:val="22"/>
              </w:rPr>
              <w:t>50以下</w:t>
            </w:r>
          </w:p>
        </w:tc>
        <w:tc>
          <w:tcPr>
            <w:tcW w:w="2150" w:type="dxa"/>
            <w:tcBorders>
              <w:top w:val="single" w:color="000000" w:sz="4" w:space="0"/>
              <w:left w:val="single" w:color="000000" w:sz="4" w:space="0"/>
              <w:bottom w:val="single" w:color="000000" w:sz="4" w:space="0"/>
              <w:right w:val="single" w:color="000000" w:sz="4" w:space="0"/>
            </w:tcBorders>
            <w:vAlign w:val="center"/>
          </w:tcPr>
          <w:p w14:paraId="11AFF73D">
            <w:pPr>
              <w:widowControl/>
              <w:spacing w:line="240" w:lineRule="exact"/>
              <w:ind w:left="7" w:leftChars="-7" w:hanging="22" w:hangingChars="10"/>
              <w:jc w:val="center"/>
              <w:textAlignment w:val="center"/>
              <w:rPr>
                <w:rFonts w:asciiTheme="minorEastAsia" w:hAnsiTheme="minorEastAsia" w:cstheme="minorEastAsia"/>
                <w:sz w:val="24"/>
                <w:szCs w:val="24"/>
              </w:rPr>
            </w:pPr>
            <w:r>
              <w:rPr>
                <w:rFonts w:hint="eastAsia" w:ascii="宋体" w:hAnsi="宋体" w:eastAsia="宋体" w:cs="宋体"/>
                <w:sz w:val="22"/>
              </w:rPr>
              <w:t>1</w:t>
            </w:r>
          </w:p>
        </w:tc>
      </w:tr>
      <w:tr w14:paraId="7AEB8E64">
        <w:tblPrEx>
          <w:tblCellMar>
            <w:top w:w="0" w:type="dxa"/>
            <w:left w:w="0" w:type="dxa"/>
            <w:bottom w:w="0" w:type="dxa"/>
            <w:right w:w="0" w:type="dxa"/>
          </w:tblCellMar>
        </w:tblPrEx>
        <w:trPr>
          <w:trHeight w:val="574" w:hRule="atLeast"/>
          <w:jc w:val="center"/>
        </w:trPr>
        <w:tc>
          <w:tcPr>
            <w:tcW w:w="1183" w:type="dxa"/>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14:paraId="5F97D90F">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kern w:val="0"/>
                <w:sz w:val="22"/>
              </w:rPr>
              <w:t>8</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B73E1C">
            <w:pPr>
              <w:widowControl/>
              <w:spacing w:line="240" w:lineRule="exact"/>
              <w:ind w:left="7" w:leftChars="-7" w:hanging="22" w:hangingChars="10"/>
              <w:jc w:val="center"/>
              <w:textAlignment w:val="center"/>
              <w:rPr>
                <w:rFonts w:asciiTheme="minorEastAsia" w:hAnsiTheme="minorEastAsia" w:cstheme="minorEastAsia"/>
                <w:sz w:val="22"/>
              </w:rPr>
            </w:pPr>
            <w:r>
              <w:rPr>
                <w:rStyle w:val="16"/>
                <w:rFonts w:hint="default"/>
                <w:color w:val="auto"/>
                <w:sz w:val="22"/>
                <w:szCs w:val="22"/>
              </w:rPr>
              <w:t>无收入</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078067">
            <w:pPr>
              <w:widowControl/>
              <w:spacing w:line="240" w:lineRule="exact"/>
              <w:ind w:left="7" w:leftChars="-7" w:hanging="22" w:hangingChars="10"/>
              <w:jc w:val="center"/>
              <w:textAlignment w:val="center"/>
              <w:rPr>
                <w:rFonts w:asciiTheme="minorEastAsia" w:hAnsiTheme="minorEastAsia" w:cstheme="minorEastAsia"/>
                <w:sz w:val="22"/>
              </w:rPr>
            </w:pPr>
            <w:r>
              <w:rPr>
                <w:rFonts w:hint="eastAsia" w:ascii="宋体" w:hAnsi="宋体" w:eastAsia="宋体" w:cs="宋体"/>
                <w:sz w:val="22"/>
              </w:rPr>
              <w:t>0</w:t>
            </w:r>
          </w:p>
        </w:tc>
        <w:tc>
          <w:tcPr>
            <w:tcW w:w="3984" w:type="dxa"/>
            <w:tcBorders>
              <w:top w:val="single" w:color="000000" w:sz="4" w:space="0"/>
              <w:left w:val="single" w:color="000000" w:sz="4" w:space="0"/>
              <w:bottom w:val="single" w:color="000000" w:sz="4" w:space="0"/>
              <w:right w:val="single" w:color="000000" w:sz="4" w:space="0"/>
            </w:tcBorders>
            <w:vAlign w:val="center"/>
          </w:tcPr>
          <w:p w14:paraId="1FD24157">
            <w:pPr>
              <w:widowControl/>
              <w:spacing w:line="240" w:lineRule="exact"/>
              <w:ind w:left="7" w:leftChars="-7" w:hanging="22" w:hangingChars="10"/>
              <w:jc w:val="center"/>
              <w:textAlignment w:val="center"/>
              <w:rPr>
                <w:rFonts w:asciiTheme="minorEastAsia" w:hAnsiTheme="minorEastAsia" w:cstheme="minorEastAsia"/>
                <w:sz w:val="22"/>
              </w:rPr>
            </w:pPr>
            <w:r>
              <w:rPr>
                <w:rStyle w:val="16"/>
                <w:rFonts w:hint="default"/>
                <w:color w:val="auto"/>
                <w:sz w:val="22"/>
                <w:szCs w:val="22"/>
              </w:rPr>
              <w:t>无收入</w:t>
            </w:r>
          </w:p>
        </w:tc>
        <w:tc>
          <w:tcPr>
            <w:tcW w:w="2150" w:type="dxa"/>
            <w:tcBorders>
              <w:top w:val="single" w:color="000000" w:sz="4" w:space="0"/>
              <w:left w:val="single" w:color="000000" w:sz="4" w:space="0"/>
              <w:bottom w:val="single" w:color="000000" w:sz="4" w:space="0"/>
              <w:right w:val="single" w:color="000000" w:sz="4" w:space="0"/>
            </w:tcBorders>
            <w:vAlign w:val="center"/>
          </w:tcPr>
          <w:p w14:paraId="1595B980">
            <w:pPr>
              <w:widowControl/>
              <w:spacing w:line="240" w:lineRule="exact"/>
              <w:ind w:left="7" w:leftChars="-7" w:hanging="22" w:hangingChars="10"/>
              <w:jc w:val="center"/>
              <w:textAlignment w:val="center"/>
              <w:rPr>
                <w:rFonts w:asciiTheme="minorEastAsia" w:hAnsiTheme="minorEastAsia" w:cstheme="minorEastAsia"/>
                <w:sz w:val="24"/>
                <w:szCs w:val="24"/>
              </w:rPr>
            </w:pPr>
            <w:r>
              <w:rPr>
                <w:rFonts w:hint="eastAsia" w:ascii="宋体" w:hAnsi="宋体" w:eastAsia="宋体" w:cs="宋体"/>
                <w:sz w:val="22"/>
              </w:rPr>
              <w:t>0</w:t>
            </w:r>
          </w:p>
        </w:tc>
      </w:tr>
    </w:tbl>
    <w:p w14:paraId="353034F2">
      <w:pPr>
        <w:widowControl/>
        <w:spacing w:line="400" w:lineRule="exact"/>
        <w:ind w:left="364" w:leftChars="117" w:hanging="118" w:hangingChars="54"/>
        <w:jc w:val="left"/>
        <w:textAlignment w:val="center"/>
        <w:rPr>
          <w:rFonts w:ascii="宋体" w:hAnsi="宋体" w:eastAsia="宋体" w:cs="宋体"/>
          <w:kern w:val="0"/>
          <w:sz w:val="22"/>
        </w:rPr>
      </w:pPr>
    </w:p>
    <w:p w14:paraId="1FBC3172">
      <w:pPr>
        <w:widowControl/>
        <w:spacing w:line="400" w:lineRule="exact"/>
        <w:ind w:left="975" w:leftChars="150" w:hanging="660" w:hangingChars="300"/>
        <w:jc w:val="left"/>
        <w:textAlignment w:val="center"/>
        <w:rPr>
          <w:rFonts w:ascii="宋体" w:hAnsi="宋体" w:eastAsia="宋体" w:cs="宋体"/>
          <w:kern w:val="0"/>
          <w:sz w:val="22"/>
        </w:rPr>
      </w:pPr>
      <w:r>
        <w:rPr>
          <w:rFonts w:hint="eastAsia" w:ascii="宋体" w:hAnsi="宋体" w:eastAsia="宋体" w:cs="宋体"/>
          <w:kern w:val="0"/>
          <w:sz w:val="22"/>
        </w:rPr>
        <w:t>注：1.营业收入=工程造价咨询业务收入+其它业务收入；</w:t>
      </w:r>
      <w:r>
        <w:rPr>
          <w:rFonts w:hint="eastAsia" w:ascii="宋体" w:hAnsi="宋体" w:eastAsia="宋体" w:cs="宋体"/>
          <w:kern w:val="0"/>
          <w:sz w:val="22"/>
        </w:rPr>
        <w:br w:type="textWrapping"/>
      </w:r>
      <w:r>
        <w:rPr>
          <w:rFonts w:hint="eastAsia" w:ascii="宋体" w:hAnsi="宋体" w:eastAsia="宋体" w:cs="宋体"/>
          <w:kern w:val="0"/>
          <w:sz w:val="22"/>
        </w:rPr>
        <w:t>其它业务收入=招标代理业务收入+项目管理业务收入+工程咨询业务收入；</w:t>
      </w:r>
    </w:p>
    <w:p w14:paraId="4C5D06FE">
      <w:pPr>
        <w:widowControl/>
        <w:spacing w:line="400" w:lineRule="exact"/>
        <w:ind w:left="351" w:leftChars="167" w:firstLine="330" w:firstLineChars="150"/>
        <w:jc w:val="left"/>
        <w:textAlignment w:val="center"/>
        <w:rPr>
          <w:rFonts w:ascii="宋体" w:hAnsi="宋体" w:eastAsia="宋体" w:cs="宋体"/>
          <w:kern w:val="0"/>
          <w:sz w:val="22"/>
        </w:rPr>
      </w:pPr>
      <w:r>
        <w:rPr>
          <w:rFonts w:hint="eastAsia" w:ascii="宋体" w:hAnsi="宋体" w:eastAsia="宋体" w:cs="宋体"/>
          <w:kern w:val="0"/>
          <w:sz w:val="22"/>
        </w:rPr>
        <w:t>2.营业收入对应营业收入分值，造价咨询业务收入对应造价咨询收入分值。</w:t>
      </w:r>
    </w:p>
    <w:p w14:paraId="55C7D24C">
      <w:pPr>
        <w:widowControl/>
        <w:spacing w:line="400" w:lineRule="exact"/>
        <w:jc w:val="left"/>
        <w:textAlignment w:val="center"/>
        <w:rPr>
          <w:rFonts w:ascii="方正小标宋简体" w:hAnsi="方正小标宋简体" w:eastAsia="方正小标宋简体" w:cs="方正小标宋简体"/>
          <w:position w:val="-6"/>
          <w:sz w:val="32"/>
          <w:szCs w:val="32"/>
        </w:rPr>
      </w:pPr>
      <w:r>
        <w:rPr>
          <w:rFonts w:hint="eastAsia" w:ascii="方正小标宋简体" w:hAnsi="方正小标宋简体" w:eastAsia="方正小标宋简体" w:cs="方正小标宋简体"/>
          <w:position w:val="-6"/>
          <w:sz w:val="32"/>
          <w:szCs w:val="32"/>
        </w:rPr>
        <w:t>附件3：</w:t>
      </w:r>
    </w:p>
    <w:p w14:paraId="4EE4A559">
      <w:pPr>
        <w:spacing w:afterLines="50" w:line="578" w:lineRule="exact"/>
        <w:ind w:firstLine="720"/>
        <w:jc w:val="center"/>
        <w:rPr>
          <w:rFonts w:ascii="宋体" w:hAnsi="宋体" w:eastAsia="宋体" w:cs="宋体"/>
          <w:position w:val="-6"/>
          <w:sz w:val="22"/>
        </w:rPr>
      </w:pPr>
      <w:r>
        <w:rPr>
          <w:rFonts w:hint="eastAsia" w:ascii="方正小标宋简体" w:hAnsi="方正小标宋简体" w:eastAsia="方正小标宋简体" w:cs="方正小标宋简体"/>
          <w:position w:val="-6"/>
          <w:sz w:val="32"/>
          <w:szCs w:val="32"/>
        </w:rPr>
        <w:t>工程造价咨询企业良好行为加分表</w:t>
      </w:r>
    </w:p>
    <w:tbl>
      <w:tblPr>
        <w:tblStyle w:val="8"/>
        <w:tblW w:w="14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11814"/>
        <w:gridCol w:w="709"/>
        <w:gridCol w:w="943"/>
      </w:tblGrid>
      <w:tr w14:paraId="6FB9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828" w:type="dxa"/>
            <w:shd w:val="clear" w:color="auto" w:fill="auto"/>
            <w:noWrap/>
            <w:tcMar>
              <w:top w:w="12" w:type="dxa"/>
              <w:left w:w="12" w:type="dxa"/>
              <w:right w:w="12" w:type="dxa"/>
            </w:tcMar>
            <w:vAlign w:val="center"/>
          </w:tcPr>
          <w:p w14:paraId="08252B56">
            <w:pPr>
              <w:widowControl/>
              <w:spacing w:line="360" w:lineRule="exact"/>
              <w:jc w:val="center"/>
              <w:textAlignment w:val="center"/>
              <w:rPr>
                <w:rFonts w:ascii="宋体" w:hAnsi="宋体" w:eastAsia="宋体" w:cs="宋体"/>
                <w:b/>
                <w:sz w:val="22"/>
              </w:rPr>
            </w:pPr>
            <w:r>
              <w:rPr>
                <w:rFonts w:hint="eastAsia" w:ascii="宋体" w:hAnsi="宋体" w:eastAsia="宋体" w:cs="宋体"/>
                <w:b/>
                <w:kern w:val="0"/>
                <w:sz w:val="22"/>
              </w:rPr>
              <w:t>序号</w:t>
            </w:r>
          </w:p>
        </w:tc>
        <w:tc>
          <w:tcPr>
            <w:tcW w:w="11814" w:type="dxa"/>
            <w:shd w:val="clear" w:color="auto" w:fill="auto"/>
            <w:noWrap/>
            <w:tcMar>
              <w:top w:w="12" w:type="dxa"/>
              <w:left w:w="12" w:type="dxa"/>
              <w:right w:w="12" w:type="dxa"/>
            </w:tcMar>
            <w:vAlign w:val="center"/>
          </w:tcPr>
          <w:p w14:paraId="15CEAAC2">
            <w:pPr>
              <w:widowControl/>
              <w:spacing w:line="360" w:lineRule="exact"/>
              <w:jc w:val="center"/>
              <w:textAlignment w:val="center"/>
              <w:rPr>
                <w:rFonts w:ascii="宋体" w:hAnsi="宋体" w:eastAsia="宋体" w:cs="宋体"/>
                <w:b/>
                <w:sz w:val="22"/>
              </w:rPr>
            </w:pPr>
            <w:r>
              <w:rPr>
                <w:rStyle w:val="21"/>
                <w:rFonts w:hint="default"/>
                <w:color w:val="auto"/>
              </w:rPr>
              <w:t>良好行为加分项内容</w:t>
            </w:r>
          </w:p>
        </w:tc>
        <w:tc>
          <w:tcPr>
            <w:tcW w:w="709" w:type="dxa"/>
            <w:shd w:val="clear" w:color="auto" w:fill="auto"/>
            <w:tcMar>
              <w:top w:w="12" w:type="dxa"/>
              <w:left w:w="12" w:type="dxa"/>
              <w:right w:w="12" w:type="dxa"/>
            </w:tcMar>
            <w:vAlign w:val="center"/>
          </w:tcPr>
          <w:p w14:paraId="1E24F3E9">
            <w:pPr>
              <w:widowControl/>
              <w:spacing w:line="360" w:lineRule="exact"/>
              <w:jc w:val="center"/>
              <w:textAlignment w:val="center"/>
              <w:rPr>
                <w:rFonts w:ascii="宋体" w:hAnsi="宋体" w:eastAsia="宋体" w:cs="宋体"/>
                <w:b/>
                <w:sz w:val="22"/>
              </w:rPr>
            </w:pPr>
            <w:r>
              <w:rPr>
                <w:rFonts w:hint="eastAsia" w:ascii="宋体" w:hAnsi="宋体" w:eastAsia="宋体" w:cs="宋体"/>
                <w:b/>
                <w:kern w:val="0"/>
                <w:sz w:val="22"/>
              </w:rPr>
              <w:t>加分  限额</w:t>
            </w:r>
          </w:p>
        </w:tc>
        <w:tc>
          <w:tcPr>
            <w:tcW w:w="943" w:type="dxa"/>
            <w:shd w:val="clear" w:color="auto" w:fill="auto"/>
            <w:tcMar>
              <w:top w:w="12" w:type="dxa"/>
              <w:left w:w="12" w:type="dxa"/>
              <w:right w:w="12" w:type="dxa"/>
            </w:tcMar>
            <w:vAlign w:val="center"/>
          </w:tcPr>
          <w:p w14:paraId="6D33C81B">
            <w:pPr>
              <w:widowControl/>
              <w:spacing w:line="360" w:lineRule="exact"/>
              <w:ind w:left="3" w:leftChars="-3" w:hanging="9" w:hangingChars="4"/>
              <w:jc w:val="center"/>
              <w:textAlignment w:val="center"/>
              <w:rPr>
                <w:rFonts w:ascii="宋体" w:hAnsi="宋体" w:eastAsia="宋体" w:cs="宋体"/>
                <w:b/>
                <w:sz w:val="22"/>
              </w:rPr>
            </w:pPr>
            <w:r>
              <w:rPr>
                <w:rFonts w:hint="eastAsia" w:ascii="宋体" w:hAnsi="宋体" w:eastAsia="宋体" w:cs="宋体"/>
                <w:b/>
                <w:kern w:val="0"/>
                <w:sz w:val="22"/>
              </w:rPr>
              <w:t>合计加分限额</w:t>
            </w:r>
          </w:p>
        </w:tc>
      </w:tr>
      <w:tr w14:paraId="316B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828" w:type="dxa"/>
            <w:shd w:val="clear" w:color="auto" w:fill="auto"/>
            <w:noWrap/>
            <w:tcMar>
              <w:top w:w="12" w:type="dxa"/>
              <w:left w:w="12" w:type="dxa"/>
              <w:right w:w="12" w:type="dxa"/>
            </w:tcMar>
            <w:vAlign w:val="center"/>
          </w:tcPr>
          <w:p w14:paraId="57DAB701">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1.1</w:t>
            </w:r>
          </w:p>
        </w:tc>
        <w:tc>
          <w:tcPr>
            <w:tcW w:w="11814" w:type="dxa"/>
            <w:shd w:val="clear" w:color="auto" w:fill="auto"/>
            <w:tcMar>
              <w:top w:w="12" w:type="dxa"/>
              <w:left w:w="12" w:type="dxa"/>
              <w:right w:w="12" w:type="dxa"/>
            </w:tcMar>
            <w:vAlign w:val="center"/>
          </w:tcPr>
          <w:p w14:paraId="335DCBF8">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企业在造价咨询活动中获得市级及以上人民政府的表彰、表扬或奖励，每获国家级加2分/项，每获省级加1.5分/项，每获市级加1分/项</w:t>
            </w:r>
          </w:p>
        </w:tc>
        <w:tc>
          <w:tcPr>
            <w:tcW w:w="709" w:type="dxa"/>
            <w:shd w:val="clear" w:color="auto" w:fill="auto"/>
            <w:tcMar>
              <w:top w:w="12" w:type="dxa"/>
              <w:left w:w="12" w:type="dxa"/>
              <w:right w:w="12" w:type="dxa"/>
            </w:tcMar>
            <w:vAlign w:val="center"/>
          </w:tcPr>
          <w:p w14:paraId="6818D2F9">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3</w:t>
            </w:r>
          </w:p>
        </w:tc>
        <w:tc>
          <w:tcPr>
            <w:tcW w:w="943" w:type="dxa"/>
            <w:vMerge w:val="restart"/>
            <w:shd w:val="clear" w:color="auto" w:fill="auto"/>
            <w:tcMar>
              <w:top w:w="12" w:type="dxa"/>
              <w:left w:w="12" w:type="dxa"/>
              <w:right w:w="12" w:type="dxa"/>
            </w:tcMar>
            <w:vAlign w:val="center"/>
          </w:tcPr>
          <w:p w14:paraId="1E31F7E0">
            <w:pPr>
              <w:widowControl/>
              <w:spacing w:line="360" w:lineRule="exact"/>
              <w:ind w:left="2" w:leftChars="-3" w:hanging="8" w:hangingChars="4"/>
              <w:jc w:val="center"/>
              <w:textAlignment w:val="center"/>
              <w:rPr>
                <w:rFonts w:ascii="宋体" w:hAnsi="宋体" w:eastAsia="宋体" w:cs="宋体"/>
                <w:kern w:val="0"/>
                <w:sz w:val="22"/>
              </w:rPr>
            </w:pPr>
          </w:p>
          <w:p w14:paraId="04800C01">
            <w:pPr>
              <w:widowControl/>
              <w:spacing w:line="360" w:lineRule="exact"/>
              <w:ind w:left="2" w:leftChars="-3" w:hanging="8" w:hangingChars="4"/>
              <w:jc w:val="center"/>
              <w:textAlignment w:val="center"/>
              <w:rPr>
                <w:rFonts w:ascii="宋体" w:hAnsi="宋体" w:eastAsia="宋体" w:cs="宋体"/>
                <w:kern w:val="0"/>
                <w:sz w:val="22"/>
              </w:rPr>
            </w:pPr>
          </w:p>
          <w:p w14:paraId="2C755B0F">
            <w:pPr>
              <w:widowControl/>
              <w:spacing w:line="360" w:lineRule="exact"/>
              <w:ind w:left="2" w:leftChars="-3" w:hanging="8" w:hangingChars="4"/>
              <w:jc w:val="center"/>
              <w:textAlignment w:val="center"/>
              <w:rPr>
                <w:rFonts w:ascii="宋体" w:hAnsi="宋体" w:eastAsia="宋体" w:cs="宋体"/>
                <w:kern w:val="0"/>
                <w:sz w:val="22"/>
              </w:rPr>
            </w:pPr>
          </w:p>
          <w:p w14:paraId="5C80A294">
            <w:pPr>
              <w:widowControl/>
              <w:spacing w:line="360" w:lineRule="exact"/>
              <w:ind w:left="2" w:leftChars="-3" w:hanging="8" w:hangingChars="4"/>
              <w:jc w:val="center"/>
              <w:textAlignment w:val="center"/>
              <w:rPr>
                <w:rFonts w:ascii="宋体" w:hAnsi="宋体" w:eastAsia="宋体" w:cs="宋体"/>
                <w:kern w:val="0"/>
                <w:sz w:val="22"/>
              </w:rPr>
            </w:pPr>
          </w:p>
          <w:p w14:paraId="5CAD462F">
            <w:pPr>
              <w:widowControl/>
              <w:spacing w:line="360" w:lineRule="exact"/>
              <w:ind w:left="2" w:leftChars="-3" w:hanging="8" w:hangingChars="4"/>
              <w:jc w:val="center"/>
              <w:textAlignment w:val="center"/>
              <w:rPr>
                <w:rFonts w:ascii="宋体" w:hAnsi="宋体" w:eastAsia="宋体" w:cs="宋体"/>
                <w:kern w:val="0"/>
                <w:sz w:val="22"/>
              </w:rPr>
            </w:pPr>
          </w:p>
          <w:p w14:paraId="6C7E21E6">
            <w:pPr>
              <w:widowControl/>
              <w:spacing w:line="360" w:lineRule="exact"/>
              <w:ind w:left="2" w:leftChars="-3" w:hanging="8" w:hangingChars="4"/>
              <w:jc w:val="center"/>
              <w:textAlignment w:val="center"/>
              <w:rPr>
                <w:rFonts w:ascii="宋体" w:hAnsi="宋体" w:eastAsia="宋体" w:cs="宋体"/>
                <w:kern w:val="0"/>
                <w:sz w:val="22"/>
              </w:rPr>
            </w:pPr>
          </w:p>
          <w:p w14:paraId="71AF7A56">
            <w:pPr>
              <w:widowControl/>
              <w:spacing w:line="360" w:lineRule="exact"/>
              <w:ind w:left="2" w:leftChars="-3" w:hanging="8" w:hangingChars="4"/>
              <w:jc w:val="center"/>
              <w:textAlignment w:val="center"/>
              <w:rPr>
                <w:rFonts w:ascii="宋体" w:hAnsi="宋体" w:eastAsia="宋体" w:cs="宋体"/>
                <w:kern w:val="0"/>
                <w:sz w:val="22"/>
              </w:rPr>
            </w:pPr>
          </w:p>
          <w:p w14:paraId="1D7F5101">
            <w:pPr>
              <w:widowControl/>
              <w:spacing w:line="360" w:lineRule="exact"/>
              <w:ind w:left="2" w:leftChars="-3" w:hanging="8" w:hangingChars="4"/>
              <w:jc w:val="center"/>
              <w:textAlignment w:val="center"/>
              <w:rPr>
                <w:rFonts w:ascii="宋体" w:hAnsi="宋体" w:eastAsia="宋体" w:cs="宋体"/>
                <w:kern w:val="0"/>
                <w:sz w:val="22"/>
              </w:rPr>
            </w:pPr>
          </w:p>
          <w:p w14:paraId="6C69471B">
            <w:pPr>
              <w:widowControl/>
              <w:spacing w:line="360" w:lineRule="exact"/>
              <w:ind w:left="2" w:leftChars="-3" w:hanging="8" w:hangingChars="4"/>
              <w:jc w:val="center"/>
              <w:textAlignment w:val="center"/>
              <w:rPr>
                <w:rFonts w:ascii="宋体" w:hAnsi="宋体" w:eastAsia="宋体" w:cs="宋体"/>
                <w:kern w:val="0"/>
                <w:sz w:val="22"/>
              </w:rPr>
            </w:pPr>
            <w:r>
              <w:rPr>
                <w:rFonts w:hint="eastAsia" w:ascii="宋体" w:hAnsi="宋体" w:eastAsia="宋体" w:cs="宋体"/>
                <w:kern w:val="0"/>
                <w:sz w:val="22"/>
              </w:rPr>
              <w:t>10</w:t>
            </w:r>
          </w:p>
          <w:p w14:paraId="0B220D79">
            <w:pPr>
              <w:widowControl/>
              <w:spacing w:line="360" w:lineRule="exact"/>
              <w:ind w:left="2" w:leftChars="-3" w:hanging="8" w:hangingChars="4"/>
              <w:jc w:val="center"/>
              <w:textAlignment w:val="center"/>
              <w:rPr>
                <w:rFonts w:ascii="宋体" w:hAnsi="宋体" w:eastAsia="宋体" w:cs="宋体"/>
                <w:kern w:val="0"/>
                <w:sz w:val="22"/>
              </w:rPr>
            </w:pPr>
          </w:p>
          <w:p w14:paraId="50FB2844">
            <w:pPr>
              <w:widowControl/>
              <w:spacing w:line="360" w:lineRule="exact"/>
              <w:ind w:left="2" w:leftChars="-3" w:hanging="8" w:hangingChars="4"/>
              <w:jc w:val="center"/>
              <w:textAlignment w:val="center"/>
              <w:rPr>
                <w:rFonts w:ascii="宋体" w:hAnsi="宋体" w:eastAsia="宋体" w:cs="宋体"/>
                <w:kern w:val="0"/>
                <w:sz w:val="22"/>
              </w:rPr>
            </w:pPr>
          </w:p>
          <w:p w14:paraId="79C661C8">
            <w:pPr>
              <w:widowControl/>
              <w:spacing w:line="360" w:lineRule="exact"/>
              <w:ind w:left="2" w:leftChars="-3" w:hanging="8" w:hangingChars="4"/>
              <w:jc w:val="center"/>
              <w:textAlignment w:val="center"/>
              <w:rPr>
                <w:rFonts w:ascii="宋体" w:hAnsi="宋体" w:eastAsia="宋体" w:cs="宋体"/>
                <w:kern w:val="0"/>
                <w:sz w:val="22"/>
              </w:rPr>
            </w:pPr>
          </w:p>
          <w:p w14:paraId="5D742782">
            <w:pPr>
              <w:widowControl/>
              <w:spacing w:line="360" w:lineRule="exact"/>
              <w:ind w:left="2" w:leftChars="-3" w:hanging="8" w:hangingChars="4"/>
              <w:jc w:val="center"/>
              <w:textAlignment w:val="center"/>
              <w:rPr>
                <w:rFonts w:ascii="宋体" w:hAnsi="宋体" w:eastAsia="宋体" w:cs="宋体"/>
                <w:kern w:val="0"/>
                <w:sz w:val="22"/>
              </w:rPr>
            </w:pPr>
          </w:p>
          <w:p w14:paraId="62893918">
            <w:pPr>
              <w:widowControl/>
              <w:spacing w:line="360" w:lineRule="exact"/>
              <w:ind w:left="2" w:leftChars="-3" w:hanging="8" w:hangingChars="4"/>
              <w:jc w:val="center"/>
              <w:textAlignment w:val="center"/>
              <w:rPr>
                <w:rFonts w:ascii="宋体" w:hAnsi="宋体" w:eastAsia="宋体" w:cs="宋体"/>
                <w:kern w:val="0"/>
                <w:sz w:val="22"/>
              </w:rPr>
            </w:pPr>
          </w:p>
          <w:p w14:paraId="64923ADD">
            <w:pPr>
              <w:widowControl/>
              <w:spacing w:line="360" w:lineRule="exact"/>
              <w:ind w:left="2" w:leftChars="-3" w:hanging="8" w:hangingChars="4"/>
              <w:jc w:val="center"/>
              <w:textAlignment w:val="center"/>
              <w:rPr>
                <w:rFonts w:ascii="宋体" w:hAnsi="宋体" w:eastAsia="宋体" w:cs="宋体"/>
                <w:kern w:val="0"/>
                <w:sz w:val="22"/>
              </w:rPr>
            </w:pPr>
          </w:p>
          <w:p w14:paraId="3851D368">
            <w:pPr>
              <w:widowControl/>
              <w:spacing w:line="360" w:lineRule="exact"/>
              <w:ind w:left="2" w:leftChars="-3" w:hanging="8" w:hangingChars="4"/>
              <w:jc w:val="center"/>
              <w:textAlignment w:val="center"/>
              <w:rPr>
                <w:rFonts w:ascii="宋体" w:hAnsi="宋体" w:eastAsia="宋体" w:cs="宋体"/>
                <w:kern w:val="0"/>
                <w:sz w:val="22"/>
              </w:rPr>
            </w:pPr>
          </w:p>
          <w:p w14:paraId="078E48D5">
            <w:pPr>
              <w:widowControl/>
              <w:spacing w:line="360" w:lineRule="exact"/>
              <w:ind w:left="2" w:leftChars="-3" w:hanging="8" w:hangingChars="4"/>
              <w:jc w:val="center"/>
              <w:textAlignment w:val="center"/>
              <w:rPr>
                <w:rFonts w:ascii="宋体" w:hAnsi="宋体" w:eastAsia="宋体" w:cs="宋体"/>
                <w:kern w:val="0"/>
                <w:sz w:val="22"/>
              </w:rPr>
            </w:pPr>
          </w:p>
          <w:p w14:paraId="7EC144C3">
            <w:pPr>
              <w:widowControl/>
              <w:spacing w:line="360" w:lineRule="exact"/>
              <w:ind w:left="2" w:leftChars="-3" w:hanging="8" w:hangingChars="4"/>
              <w:jc w:val="center"/>
              <w:textAlignment w:val="center"/>
              <w:rPr>
                <w:rFonts w:ascii="宋体" w:hAnsi="宋体" w:eastAsia="宋体" w:cs="宋体"/>
                <w:kern w:val="0"/>
                <w:sz w:val="22"/>
              </w:rPr>
            </w:pPr>
          </w:p>
          <w:p w14:paraId="3942E408">
            <w:pPr>
              <w:widowControl/>
              <w:spacing w:line="360" w:lineRule="exact"/>
              <w:ind w:left="2" w:leftChars="-3" w:hanging="8" w:hangingChars="4"/>
              <w:jc w:val="center"/>
              <w:textAlignment w:val="center"/>
              <w:rPr>
                <w:rFonts w:ascii="宋体" w:hAnsi="宋体" w:eastAsia="宋体" w:cs="宋体"/>
                <w:kern w:val="0"/>
                <w:sz w:val="22"/>
              </w:rPr>
            </w:pPr>
          </w:p>
          <w:p w14:paraId="3D6932F8">
            <w:pPr>
              <w:widowControl/>
              <w:spacing w:line="360" w:lineRule="exact"/>
              <w:ind w:left="2" w:leftChars="-3" w:hanging="8" w:hangingChars="4"/>
              <w:jc w:val="center"/>
              <w:textAlignment w:val="center"/>
              <w:rPr>
                <w:rFonts w:ascii="宋体" w:hAnsi="宋体" w:eastAsia="宋体" w:cs="宋体"/>
                <w:kern w:val="0"/>
                <w:sz w:val="22"/>
              </w:rPr>
            </w:pPr>
          </w:p>
          <w:p w14:paraId="233D167B">
            <w:pPr>
              <w:widowControl/>
              <w:spacing w:line="360" w:lineRule="exact"/>
              <w:ind w:left="2" w:leftChars="-3" w:hanging="8" w:hangingChars="4"/>
              <w:jc w:val="center"/>
              <w:textAlignment w:val="center"/>
              <w:rPr>
                <w:rFonts w:ascii="宋体" w:hAnsi="宋体" w:eastAsia="宋体" w:cs="宋体"/>
                <w:kern w:val="0"/>
                <w:sz w:val="22"/>
              </w:rPr>
            </w:pPr>
          </w:p>
          <w:p w14:paraId="51D141F3">
            <w:pPr>
              <w:widowControl/>
              <w:spacing w:line="360" w:lineRule="exact"/>
              <w:ind w:left="2" w:leftChars="-3" w:hanging="8" w:hangingChars="4"/>
              <w:jc w:val="center"/>
              <w:textAlignment w:val="center"/>
              <w:rPr>
                <w:rFonts w:ascii="宋体" w:hAnsi="宋体" w:eastAsia="宋体" w:cs="宋体"/>
                <w:sz w:val="22"/>
              </w:rPr>
            </w:pPr>
            <w:r>
              <w:rPr>
                <w:rFonts w:hint="eastAsia" w:ascii="宋体" w:hAnsi="宋体" w:eastAsia="宋体" w:cs="宋体"/>
                <w:kern w:val="0"/>
                <w:sz w:val="22"/>
              </w:rPr>
              <w:t>接上</w:t>
            </w:r>
          </w:p>
        </w:tc>
      </w:tr>
      <w:tr w14:paraId="2F73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828" w:type="dxa"/>
            <w:shd w:val="clear" w:color="auto" w:fill="auto"/>
            <w:noWrap/>
            <w:tcMar>
              <w:top w:w="12" w:type="dxa"/>
              <w:left w:w="12" w:type="dxa"/>
              <w:right w:w="12" w:type="dxa"/>
            </w:tcMar>
            <w:vAlign w:val="center"/>
          </w:tcPr>
          <w:p w14:paraId="2EFE1B80">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1.2</w:t>
            </w:r>
          </w:p>
        </w:tc>
        <w:tc>
          <w:tcPr>
            <w:tcW w:w="11814" w:type="dxa"/>
            <w:shd w:val="clear" w:color="auto" w:fill="auto"/>
            <w:tcMar>
              <w:top w:w="12" w:type="dxa"/>
              <w:left w:w="12" w:type="dxa"/>
              <w:right w:w="12" w:type="dxa"/>
            </w:tcMar>
            <w:vAlign w:val="center"/>
          </w:tcPr>
          <w:p w14:paraId="3994EA69">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企业在造价咨询活动中获得市级以上建设行政主管部门、行业管理机构或行业协会的表彰、表扬或奖励,每获国家级加1分/项，每获省级加0.8分/项，每获市级加0.5分/项；获得市级以上审计、财政、发改等政府部门的表彰或奖励,获省级及以上的加0.5分/项，获市级的加0.3分/项，获得委托方奖励的加0.5分/项</w:t>
            </w:r>
          </w:p>
        </w:tc>
        <w:tc>
          <w:tcPr>
            <w:tcW w:w="709" w:type="dxa"/>
            <w:shd w:val="clear" w:color="auto" w:fill="auto"/>
            <w:tcMar>
              <w:top w:w="12" w:type="dxa"/>
              <w:left w:w="12" w:type="dxa"/>
              <w:right w:w="12" w:type="dxa"/>
            </w:tcMar>
            <w:vAlign w:val="center"/>
          </w:tcPr>
          <w:p w14:paraId="735A0039">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4</w:t>
            </w:r>
          </w:p>
        </w:tc>
        <w:tc>
          <w:tcPr>
            <w:tcW w:w="943" w:type="dxa"/>
            <w:vMerge w:val="continue"/>
            <w:shd w:val="clear" w:color="auto" w:fill="auto"/>
            <w:tcMar>
              <w:top w:w="12" w:type="dxa"/>
              <w:left w:w="12" w:type="dxa"/>
              <w:right w:w="12" w:type="dxa"/>
            </w:tcMar>
            <w:vAlign w:val="center"/>
          </w:tcPr>
          <w:p w14:paraId="7937FD94">
            <w:pPr>
              <w:widowControl/>
              <w:spacing w:line="360" w:lineRule="exact"/>
              <w:ind w:firstLine="480"/>
              <w:jc w:val="center"/>
              <w:rPr>
                <w:rFonts w:ascii="宋体" w:hAnsi="宋体" w:eastAsia="宋体" w:cs="宋体"/>
                <w:sz w:val="22"/>
              </w:rPr>
            </w:pPr>
          </w:p>
        </w:tc>
      </w:tr>
      <w:tr w14:paraId="34BB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828" w:type="dxa"/>
            <w:shd w:val="clear" w:color="auto" w:fill="auto"/>
            <w:noWrap/>
            <w:tcMar>
              <w:top w:w="12" w:type="dxa"/>
              <w:left w:w="12" w:type="dxa"/>
              <w:right w:w="12" w:type="dxa"/>
            </w:tcMar>
            <w:vAlign w:val="center"/>
          </w:tcPr>
          <w:p w14:paraId="2D65ABC3">
            <w:pPr>
              <w:spacing w:line="360" w:lineRule="exact"/>
              <w:jc w:val="center"/>
              <w:textAlignment w:val="center"/>
              <w:rPr>
                <w:rFonts w:ascii="宋体" w:hAnsi="宋体" w:eastAsia="宋体" w:cs="宋体"/>
                <w:kern w:val="0"/>
                <w:sz w:val="22"/>
              </w:rPr>
            </w:pPr>
            <w:r>
              <w:rPr>
                <w:rFonts w:hint="eastAsia" w:ascii="宋体" w:hAnsi="宋体" w:eastAsia="宋体" w:cs="宋体"/>
                <w:kern w:val="0"/>
                <w:sz w:val="22"/>
              </w:rPr>
              <w:t>1.3</w:t>
            </w:r>
          </w:p>
        </w:tc>
        <w:tc>
          <w:tcPr>
            <w:tcW w:w="11814" w:type="dxa"/>
            <w:shd w:val="clear" w:color="auto" w:fill="auto"/>
            <w:tcMar>
              <w:top w:w="12" w:type="dxa"/>
              <w:left w:w="12" w:type="dxa"/>
              <w:right w:w="12" w:type="dxa"/>
            </w:tcMar>
            <w:vAlign w:val="center"/>
          </w:tcPr>
          <w:p w14:paraId="25D50D76">
            <w:pPr>
              <w:spacing w:line="360" w:lineRule="exact"/>
              <w:jc w:val="left"/>
              <w:textAlignment w:val="center"/>
              <w:rPr>
                <w:rFonts w:ascii="宋体" w:hAnsi="宋体" w:eastAsia="宋体" w:cs="宋体"/>
                <w:kern w:val="0"/>
                <w:sz w:val="22"/>
              </w:rPr>
            </w:pPr>
            <w:r>
              <w:rPr>
                <w:rFonts w:hint="eastAsia" w:ascii="宋体" w:hAnsi="宋体" w:eastAsia="宋体" w:cs="宋体"/>
                <w:kern w:val="0"/>
                <w:sz w:val="22"/>
              </w:rPr>
              <w:t>企业有造价行业专家，如中价协专家委员会成员，省研究会专家委员会成员，省住建厅、财政局评标专家0.5分/人，市级造价行业专家0.3分/人。仲裁委或法院专家，法院系统专家0.5分</w:t>
            </w:r>
            <w:r>
              <w:rPr>
                <w:rFonts w:ascii="宋体" w:hAnsi="宋体" w:eastAsia="宋体" w:cs="宋体"/>
                <w:kern w:val="0"/>
                <w:sz w:val="22"/>
              </w:rPr>
              <w:t>/</w:t>
            </w:r>
            <w:r>
              <w:rPr>
                <w:rFonts w:hint="eastAsia" w:ascii="宋体" w:hAnsi="宋体" w:eastAsia="宋体" w:cs="宋体"/>
                <w:kern w:val="0"/>
                <w:sz w:val="22"/>
              </w:rPr>
              <w:t>人，市仲裁委仲裁员0.3分</w:t>
            </w:r>
            <w:r>
              <w:rPr>
                <w:rFonts w:ascii="宋体" w:hAnsi="宋体" w:eastAsia="宋体" w:cs="宋体"/>
                <w:kern w:val="0"/>
                <w:sz w:val="22"/>
              </w:rPr>
              <w:t>/</w:t>
            </w:r>
            <w:r>
              <w:rPr>
                <w:rFonts w:hint="eastAsia" w:ascii="宋体" w:hAnsi="宋体" w:eastAsia="宋体" w:cs="宋体"/>
                <w:kern w:val="0"/>
                <w:sz w:val="22"/>
              </w:rPr>
              <w:t>人</w:t>
            </w:r>
          </w:p>
        </w:tc>
        <w:tc>
          <w:tcPr>
            <w:tcW w:w="709" w:type="dxa"/>
            <w:shd w:val="clear" w:color="auto" w:fill="auto"/>
            <w:tcMar>
              <w:top w:w="12" w:type="dxa"/>
              <w:left w:w="12" w:type="dxa"/>
              <w:right w:w="12" w:type="dxa"/>
            </w:tcMar>
            <w:vAlign w:val="center"/>
          </w:tcPr>
          <w:p w14:paraId="1B888FBB">
            <w:pPr>
              <w:spacing w:line="360" w:lineRule="exact"/>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943" w:type="dxa"/>
            <w:vMerge w:val="continue"/>
            <w:shd w:val="clear" w:color="auto" w:fill="auto"/>
            <w:tcMar>
              <w:top w:w="12" w:type="dxa"/>
              <w:left w:w="12" w:type="dxa"/>
              <w:right w:w="12" w:type="dxa"/>
            </w:tcMar>
            <w:vAlign w:val="center"/>
          </w:tcPr>
          <w:p w14:paraId="09D5EAAD">
            <w:pPr>
              <w:widowControl/>
              <w:spacing w:line="360" w:lineRule="exact"/>
              <w:ind w:firstLine="480"/>
              <w:jc w:val="center"/>
              <w:rPr>
                <w:rFonts w:ascii="宋体" w:hAnsi="宋体" w:eastAsia="宋体" w:cs="宋体"/>
                <w:sz w:val="22"/>
              </w:rPr>
            </w:pPr>
          </w:p>
        </w:tc>
      </w:tr>
      <w:tr w14:paraId="38C4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828" w:type="dxa"/>
            <w:shd w:val="clear" w:color="auto" w:fill="auto"/>
            <w:noWrap/>
            <w:tcMar>
              <w:top w:w="12" w:type="dxa"/>
              <w:left w:w="12" w:type="dxa"/>
              <w:right w:w="12" w:type="dxa"/>
            </w:tcMar>
            <w:vAlign w:val="center"/>
          </w:tcPr>
          <w:p w14:paraId="70DF431C">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1.4</w:t>
            </w:r>
          </w:p>
        </w:tc>
        <w:tc>
          <w:tcPr>
            <w:tcW w:w="11814" w:type="dxa"/>
            <w:shd w:val="clear" w:color="auto" w:fill="auto"/>
            <w:tcMar>
              <w:top w:w="12" w:type="dxa"/>
              <w:left w:w="12" w:type="dxa"/>
              <w:right w:w="12" w:type="dxa"/>
            </w:tcMar>
            <w:vAlign w:val="center"/>
          </w:tcPr>
          <w:p w14:paraId="5F6ABFDE">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企业在参加造价行业组织的专业技能类竞赛中获奖，每获国家级加2分/项，每获省级加1.5分/项，每获市级加1分/项；员工获奖按相应级别减半加分</w:t>
            </w:r>
          </w:p>
        </w:tc>
        <w:tc>
          <w:tcPr>
            <w:tcW w:w="709" w:type="dxa"/>
            <w:shd w:val="clear" w:color="auto" w:fill="auto"/>
            <w:tcMar>
              <w:top w:w="12" w:type="dxa"/>
              <w:left w:w="12" w:type="dxa"/>
              <w:right w:w="12" w:type="dxa"/>
            </w:tcMar>
            <w:vAlign w:val="center"/>
          </w:tcPr>
          <w:p w14:paraId="4D5D193D">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3</w:t>
            </w:r>
          </w:p>
        </w:tc>
        <w:tc>
          <w:tcPr>
            <w:tcW w:w="943" w:type="dxa"/>
            <w:vMerge w:val="continue"/>
            <w:shd w:val="clear" w:color="auto" w:fill="auto"/>
            <w:tcMar>
              <w:top w:w="12" w:type="dxa"/>
              <w:left w:w="12" w:type="dxa"/>
              <w:right w:w="12" w:type="dxa"/>
            </w:tcMar>
            <w:vAlign w:val="center"/>
          </w:tcPr>
          <w:p w14:paraId="7E3562E0">
            <w:pPr>
              <w:widowControl/>
              <w:spacing w:line="360" w:lineRule="exact"/>
              <w:ind w:firstLine="480"/>
              <w:jc w:val="center"/>
              <w:rPr>
                <w:rFonts w:ascii="宋体" w:hAnsi="宋体" w:eastAsia="宋体" w:cs="宋体"/>
                <w:sz w:val="22"/>
              </w:rPr>
            </w:pPr>
          </w:p>
        </w:tc>
      </w:tr>
      <w:tr w14:paraId="74C4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828" w:type="dxa"/>
            <w:shd w:val="clear" w:color="auto" w:fill="auto"/>
            <w:noWrap/>
            <w:tcMar>
              <w:top w:w="12" w:type="dxa"/>
              <w:left w:w="12" w:type="dxa"/>
              <w:right w:w="12" w:type="dxa"/>
            </w:tcMar>
            <w:vAlign w:val="center"/>
          </w:tcPr>
          <w:p w14:paraId="51524EEE">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1.5</w:t>
            </w:r>
          </w:p>
        </w:tc>
        <w:tc>
          <w:tcPr>
            <w:tcW w:w="11814" w:type="dxa"/>
            <w:shd w:val="clear" w:color="auto" w:fill="auto"/>
            <w:tcMar>
              <w:top w:w="12" w:type="dxa"/>
              <w:left w:w="12" w:type="dxa"/>
              <w:right w:w="12" w:type="dxa"/>
            </w:tcMar>
            <w:vAlign w:val="center"/>
          </w:tcPr>
          <w:p w14:paraId="4AC59BFE">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企业在参加造价行业协会组织的文体活动竞赛等各类活动中获奖，每获国家级加1分/项，每获省级加0.8分/项，每获市级加0.5分/项</w:t>
            </w:r>
          </w:p>
        </w:tc>
        <w:tc>
          <w:tcPr>
            <w:tcW w:w="709" w:type="dxa"/>
            <w:shd w:val="clear" w:color="auto" w:fill="auto"/>
            <w:tcMar>
              <w:top w:w="12" w:type="dxa"/>
              <w:left w:w="12" w:type="dxa"/>
              <w:right w:w="12" w:type="dxa"/>
            </w:tcMar>
            <w:vAlign w:val="center"/>
          </w:tcPr>
          <w:p w14:paraId="491BE8D8">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4</w:t>
            </w:r>
          </w:p>
        </w:tc>
        <w:tc>
          <w:tcPr>
            <w:tcW w:w="943" w:type="dxa"/>
            <w:vMerge w:val="continue"/>
            <w:shd w:val="clear" w:color="auto" w:fill="auto"/>
            <w:tcMar>
              <w:top w:w="12" w:type="dxa"/>
              <w:left w:w="12" w:type="dxa"/>
              <w:right w:w="12" w:type="dxa"/>
            </w:tcMar>
            <w:vAlign w:val="center"/>
          </w:tcPr>
          <w:p w14:paraId="3AFAA9CB">
            <w:pPr>
              <w:widowControl/>
              <w:spacing w:line="360" w:lineRule="exact"/>
              <w:ind w:firstLine="480"/>
              <w:jc w:val="center"/>
              <w:rPr>
                <w:rFonts w:ascii="宋体" w:hAnsi="宋体" w:eastAsia="宋体" w:cs="宋体"/>
                <w:sz w:val="22"/>
              </w:rPr>
            </w:pPr>
          </w:p>
        </w:tc>
      </w:tr>
      <w:tr w14:paraId="62B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828" w:type="dxa"/>
            <w:shd w:val="clear" w:color="auto" w:fill="FFFFFF" w:themeFill="background1"/>
            <w:noWrap/>
            <w:tcMar>
              <w:top w:w="12" w:type="dxa"/>
              <w:left w:w="12" w:type="dxa"/>
              <w:right w:w="12" w:type="dxa"/>
            </w:tcMar>
            <w:vAlign w:val="center"/>
          </w:tcPr>
          <w:p w14:paraId="157BAFB6">
            <w:pPr>
              <w:widowControl/>
              <w:spacing w:line="360" w:lineRule="exact"/>
              <w:jc w:val="center"/>
              <w:textAlignment w:val="center"/>
              <w:rPr>
                <w:rFonts w:ascii="宋体" w:hAnsi="宋体" w:eastAsia="宋体" w:cs="宋体"/>
                <w:kern w:val="0"/>
                <w:sz w:val="22"/>
              </w:rPr>
            </w:pPr>
            <w:r>
              <w:rPr>
                <w:rFonts w:hint="eastAsia" w:ascii="宋体" w:hAnsi="宋体" w:eastAsia="宋体" w:cs="宋体"/>
                <w:kern w:val="0"/>
                <w:sz w:val="22"/>
              </w:rPr>
              <w:t>1.6</w:t>
            </w:r>
          </w:p>
        </w:tc>
        <w:tc>
          <w:tcPr>
            <w:tcW w:w="11814" w:type="dxa"/>
            <w:shd w:val="clear" w:color="auto" w:fill="FFFFFF" w:themeFill="background1"/>
            <w:tcMar>
              <w:top w:w="12" w:type="dxa"/>
              <w:left w:w="12" w:type="dxa"/>
              <w:right w:w="12" w:type="dxa"/>
            </w:tcMar>
            <w:vAlign w:val="center"/>
          </w:tcPr>
          <w:p w14:paraId="19112C98">
            <w:pPr>
              <w:widowControl/>
              <w:spacing w:line="360" w:lineRule="exact"/>
              <w:jc w:val="left"/>
              <w:textAlignment w:val="center"/>
              <w:rPr>
                <w:rFonts w:ascii="宋体" w:hAnsi="宋体" w:eastAsia="宋体" w:cs="宋体"/>
                <w:kern w:val="0"/>
                <w:sz w:val="22"/>
              </w:rPr>
            </w:pPr>
            <w:r>
              <w:rPr>
                <w:rFonts w:hint="eastAsia" w:ascii="宋体" w:hAnsi="宋体" w:eastAsia="宋体" w:cs="宋体"/>
                <w:kern w:val="0"/>
                <w:sz w:val="22"/>
              </w:rPr>
              <w:t>在造价行业协会组织的各类活动中协助组织活动，提供工作辅助等贡献的企业，加1分</w:t>
            </w:r>
          </w:p>
        </w:tc>
        <w:tc>
          <w:tcPr>
            <w:tcW w:w="709" w:type="dxa"/>
            <w:shd w:val="clear" w:color="auto" w:fill="FFFFFF" w:themeFill="background1"/>
            <w:tcMar>
              <w:top w:w="12" w:type="dxa"/>
              <w:left w:w="12" w:type="dxa"/>
              <w:right w:w="12" w:type="dxa"/>
            </w:tcMar>
            <w:vAlign w:val="center"/>
          </w:tcPr>
          <w:p w14:paraId="53B82CB3">
            <w:pPr>
              <w:widowControl/>
              <w:spacing w:line="360" w:lineRule="exact"/>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943" w:type="dxa"/>
            <w:vMerge w:val="continue"/>
            <w:shd w:val="clear" w:color="auto" w:fill="auto"/>
            <w:tcMar>
              <w:top w:w="12" w:type="dxa"/>
              <w:left w:w="12" w:type="dxa"/>
              <w:right w:w="12" w:type="dxa"/>
            </w:tcMar>
            <w:vAlign w:val="center"/>
          </w:tcPr>
          <w:p w14:paraId="249B286A">
            <w:pPr>
              <w:widowControl/>
              <w:spacing w:line="360" w:lineRule="exact"/>
              <w:ind w:firstLine="480"/>
              <w:jc w:val="center"/>
              <w:rPr>
                <w:rFonts w:ascii="宋体" w:hAnsi="宋体" w:eastAsia="宋体" w:cs="宋体"/>
                <w:sz w:val="22"/>
              </w:rPr>
            </w:pPr>
          </w:p>
        </w:tc>
      </w:tr>
      <w:tr w14:paraId="04B1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28" w:type="dxa"/>
            <w:shd w:val="clear" w:color="auto" w:fill="FFFFFF" w:themeFill="background1"/>
            <w:noWrap/>
            <w:tcMar>
              <w:top w:w="12" w:type="dxa"/>
              <w:left w:w="12" w:type="dxa"/>
              <w:right w:w="12" w:type="dxa"/>
            </w:tcMar>
            <w:vAlign w:val="center"/>
          </w:tcPr>
          <w:p w14:paraId="53F563BF">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1.7</w:t>
            </w:r>
          </w:p>
        </w:tc>
        <w:tc>
          <w:tcPr>
            <w:tcW w:w="11814" w:type="dxa"/>
            <w:shd w:val="clear" w:color="auto" w:fill="FFFFFF" w:themeFill="background1"/>
            <w:tcMar>
              <w:top w:w="12" w:type="dxa"/>
              <w:left w:w="12" w:type="dxa"/>
              <w:right w:w="12" w:type="dxa"/>
            </w:tcMar>
            <w:vAlign w:val="center"/>
          </w:tcPr>
          <w:p w14:paraId="32F576D3">
            <w:pPr>
              <w:widowControl/>
              <w:spacing w:line="360" w:lineRule="exact"/>
              <w:jc w:val="left"/>
              <w:textAlignment w:val="center"/>
              <w:rPr>
                <w:rFonts w:ascii="宋体" w:hAnsi="宋体" w:eastAsia="宋体" w:cs="宋体"/>
                <w:kern w:val="0"/>
                <w:sz w:val="22"/>
              </w:rPr>
            </w:pPr>
            <w:r>
              <w:rPr>
                <w:rFonts w:hint="eastAsia" w:ascii="宋体" w:hAnsi="宋体" w:eastAsia="宋体" w:cs="宋体"/>
                <w:kern w:val="0"/>
                <w:sz w:val="22"/>
              </w:rPr>
              <w:t>发表与工程造价相关论文、案例，国家级（国际）刊物加1分/项，省（直辖市）级刊物加0.5分/项，市级刊物加</w:t>
            </w:r>
          </w:p>
          <w:p w14:paraId="6143B314">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0.3分/项；获得行业优秀论文、典型案例的加0.5分/项</w:t>
            </w:r>
          </w:p>
        </w:tc>
        <w:tc>
          <w:tcPr>
            <w:tcW w:w="709" w:type="dxa"/>
            <w:shd w:val="clear" w:color="auto" w:fill="FFFFFF" w:themeFill="background1"/>
            <w:tcMar>
              <w:top w:w="12" w:type="dxa"/>
              <w:left w:w="12" w:type="dxa"/>
              <w:right w:w="12" w:type="dxa"/>
            </w:tcMar>
            <w:vAlign w:val="center"/>
          </w:tcPr>
          <w:p w14:paraId="137D53D6">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3</w:t>
            </w:r>
          </w:p>
        </w:tc>
        <w:tc>
          <w:tcPr>
            <w:tcW w:w="943" w:type="dxa"/>
            <w:vMerge w:val="continue"/>
            <w:shd w:val="clear" w:color="auto" w:fill="auto"/>
            <w:tcMar>
              <w:top w:w="12" w:type="dxa"/>
              <w:left w:w="12" w:type="dxa"/>
              <w:right w:w="12" w:type="dxa"/>
            </w:tcMar>
            <w:vAlign w:val="center"/>
          </w:tcPr>
          <w:p w14:paraId="3E276935">
            <w:pPr>
              <w:widowControl/>
              <w:spacing w:line="360" w:lineRule="exact"/>
              <w:ind w:firstLine="480"/>
              <w:jc w:val="center"/>
              <w:rPr>
                <w:rFonts w:ascii="宋体" w:hAnsi="宋体" w:eastAsia="宋体" w:cs="宋体"/>
                <w:sz w:val="22"/>
              </w:rPr>
            </w:pPr>
          </w:p>
        </w:tc>
      </w:tr>
      <w:tr w14:paraId="01E2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8" w:type="dxa"/>
            <w:shd w:val="clear" w:color="auto" w:fill="FFFFFF" w:themeFill="background1"/>
            <w:noWrap/>
            <w:tcMar>
              <w:top w:w="12" w:type="dxa"/>
              <w:left w:w="12" w:type="dxa"/>
              <w:right w:w="12" w:type="dxa"/>
            </w:tcMar>
            <w:vAlign w:val="center"/>
          </w:tcPr>
          <w:p w14:paraId="25CC4EAB">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1.8</w:t>
            </w:r>
          </w:p>
        </w:tc>
        <w:tc>
          <w:tcPr>
            <w:tcW w:w="11814" w:type="dxa"/>
            <w:shd w:val="clear" w:color="auto" w:fill="FFFFFF" w:themeFill="background1"/>
            <w:tcMar>
              <w:top w:w="12" w:type="dxa"/>
              <w:left w:w="12" w:type="dxa"/>
              <w:right w:w="12" w:type="dxa"/>
            </w:tcMar>
            <w:vAlign w:val="center"/>
          </w:tcPr>
          <w:p w14:paraId="12D62B7E">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参与市级以上行业管理机构组织的计价依据的修编（或补充定额的编制）、教材修编、试卷命题等，加1分/人；</w:t>
            </w:r>
          </w:p>
        </w:tc>
        <w:tc>
          <w:tcPr>
            <w:tcW w:w="709" w:type="dxa"/>
            <w:shd w:val="clear" w:color="auto" w:fill="FFFFFF" w:themeFill="background1"/>
            <w:tcMar>
              <w:top w:w="12" w:type="dxa"/>
              <w:left w:w="12" w:type="dxa"/>
              <w:right w:w="12" w:type="dxa"/>
            </w:tcMar>
            <w:vAlign w:val="center"/>
          </w:tcPr>
          <w:p w14:paraId="3DCCAE43">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3</w:t>
            </w:r>
          </w:p>
        </w:tc>
        <w:tc>
          <w:tcPr>
            <w:tcW w:w="943" w:type="dxa"/>
            <w:vMerge w:val="continue"/>
            <w:shd w:val="clear" w:color="auto" w:fill="auto"/>
            <w:tcMar>
              <w:top w:w="12" w:type="dxa"/>
              <w:left w:w="12" w:type="dxa"/>
              <w:right w:w="12" w:type="dxa"/>
            </w:tcMar>
            <w:vAlign w:val="center"/>
          </w:tcPr>
          <w:p w14:paraId="5B3328C9">
            <w:pPr>
              <w:widowControl/>
              <w:spacing w:line="360" w:lineRule="exact"/>
              <w:ind w:firstLine="480"/>
              <w:jc w:val="center"/>
              <w:rPr>
                <w:rFonts w:ascii="宋体" w:hAnsi="宋体" w:eastAsia="宋体" w:cs="宋体"/>
                <w:sz w:val="22"/>
              </w:rPr>
            </w:pPr>
          </w:p>
        </w:tc>
      </w:tr>
      <w:tr w14:paraId="2B71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8" w:type="dxa"/>
            <w:shd w:val="clear" w:color="auto" w:fill="FFFFFF" w:themeFill="background1"/>
            <w:noWrap/>
            <w:tcMar>
              <w:top w:w="12" w:type="dxa"/>
              <w:left w:w="12" w:type="dxa"/>
              <w:right w:w="12" w:type="dxa"/>
            </w:tcMar>
            <w:vAlign w:val="center"/>
          </w:tcPr>
          <w:p w14:paraId="6C68D5B6">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1.9</w:t>
            </w:r>
          </w:p>
        </w:tc>
        <w:tc>
          <w:tcPr>
            <w:tcW w:w="11814" w:type="dxa"/>
            <w:shd w:val="clear" w:color="auto" w:fill="FFFFFF" w:themeFill="background1"/>
            <w:tcMar>
              <w:top w:w="12" w:type="dxa"/>
              <w:left w:w="12" w:type="dxa"/>
              <w:right w:w="12" w:type="dxa"/>
            </w:tcMar>
            <w:vAlign w:val="center"/>
          </w:tcPr>
          <w:p w14:paraId="01164013">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参与造价相关的课题研究及规范、标准编制，住建部标准定额司或中价协加1分/人，省级加0.8分/人，市级0.5分/人</w:t>
            </w:r>
          </w:p>
        </w:tc>
        <w:tc>
          <w:tcPr>
            <w:tcW w:w="709" w:type="dxa"/>
            <w:shd w:val="clear" w:color="auto" w:fill="FFFFFF" w:themeFill="background1"/>
            <w:tcMar>
              <w:top w:w="12" w:type="dxa"/>
              <w:left w:w="12" w:type="dxa"/>
              <w:right w:w="12" w:type="dxa"/>
            </w:tcMar>
            <w:vAlign w:val="center"/>
          </w:tcPr>
          <w:p w14:paraId="259AA47E">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4</w:t>
            </w:r>
          </w:p>
        </w:tc>
        <w:tc>
          <w:tcPr>
            <w:tcW w:w="943" w:type="dxa"/>
            <w:vMerge w:val="continue"/>
            <w:shd w:val="clear" w:color="auto" w:fill="auto"/>
            <w:tcMar>
              <w:top w:w="12" w:type="dxa"/>
              <w:left w:w="12" w:type="dxa"/>
              <w:right w:w="12" w:type="dxa"/>
            </w:tcMar>
            <w:vAlign w:val="center"/>
          </w:tcPr>
          <w:p w14:paraId="4D251B8A">
            <w:pPr>
              <w:widowControl/>
              <w:spacing w:line="360" w:lineRule="exact"/>
              <w:ind w:firstLine="480"/>
              <w:jc w:val="center"/>
              <w:rPr>
                <w:rFonts w:ascii="宋体" w:hAnsi="宋体" w:eastAsia="宋体" w:cs="宋体"/>
                <w:sz w:val="22"/>
              </w:rPr>
            </w:pPr>
          </w:p>
        </w:tc>
      </w:tr>
      <w:tr w14:paraId="56CC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8" w:type="dxa"/>
            <w:shd w:val="clear" w:color="auto" w:fill="FFFFFF" w:themeFill="background1"/>
            <w:noWrap/>
            <w:tcMar>
              <w:top w:w="12" w:type="dxa"/>
              <w:left w:w="12" w:type="dxa"/>
              <w:right w:w="12" w:type="dxa"/>
            </w:tcMar>
            <w:vAlign w:val="center"/>
          </w:tcPr>
          <w:p w14:paraId="1DE2F63F">
            <w:pPr>
              <w:widowControl/>
              <w:spacing w:line="360" w:lineRule="exact"/>
              <w:jc w:val="center"/>
              <w:textAlignment w:val="center"/>
              <w:rPr>
                <w:rFonts w:ascii="宋体" w:hAnsi="宋体" w:eastAsia="宋体" w:cs="宋体"/>
                <w:kern w:val="0"/>
                <w:sz w:val="22"/>
              </w:rPr>
            </w:pPr>
            <w:r>
              <w:rPr>
                <w:rFonts w:hint="eastAsia" w:ascii="宋体" w:hAnsi="宋体" w:eastAsia="宋体" w:cs="宋体"/>
                <w:kern w:val="0"/>
                <w:sz w:val="22"/>
              </w:rPr>
              <w:t>1.10</w:t>
            </w:r>
          </w:p>
        </w:tc>
        <w:tc>
          <w:tcPr>
            <w:tcW w:w="11814" w:type="dxa"/>
            <w:shd w:val="clear" w:color="auto" w:fill="FFFFFF" w:themeFill="background1"/>
            <w:tcMar>
              <w:top w:w="12" w:type="dxa"/>
              <w:left w:w="12" w:type="dxa"/>
              <w:right w:w="12" w:type="dxa"/>
            </w:tcMar>
            <w:vAlign w:val="center"/>
          </w:tcPr>
          <w:p w14:paraId="51962FF3">
            <w:pPr>
              <w:widowControl/>
              <w:spacing w:line="360" w:lineRule="exact"/>
              <w:jc w:val="left"/>
              <w:textAlignment w:val="center"/>
              <w:rPr>
                <w:rFonts w:ascii="宋体" w:hAnsi="宋体" w:eastAsia="宋体" w:cs="宋体"/>
                <w:kern w:val="0"/>
                <w:sz w:val="22"/>
              </w:rPr>
            </w:pPr>
            <w:r>
              <w:rPr>
                <w:rFonts w:hint="eastAsia" w:ascii="宋体" w:hAnsi="宋体" w:eastAsia="宋体" w:cs="宋体"/>
                <w:kern w:val="0"/>
                <w:sz w:val="22"/>
              </w:rPr>
              <w:t>企业提供自己录制的培训课件，并被研究会采用作为继续教育课件的加0.5/次</w:t>
            </w:r>
          </w:p>
        </w:tc>
        <w:tc>
          <w:tcPr>
            <w:tcW w:w="709" w:type="dxa"/>
            <w:shd w:val="clear" w:color="auto" w:fill="FFFFFF" w:themeFill="background1"/>
            <w:tcMar>
              <w:top w:w="12" w:type="dxa"/>
              <w:left w:w="12" w:type="dxa"/>
              <w:right w:w="12" w:type="dxa"/>
            </w:tcMar>
            <w:vAlign w:val="center"/>
          </w:tcPr>
          <w:p w14:paraId="15138143">
            <w:pPr>
              <w:widowControl/>
              <w:spacing w:line="360" w:lineRule="exact"/>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943" w:type="dxa"/>
            <w:vMerge w:val="continue"/>
            <w:shd w:val="clear" w:color="auto" w:fill="auto"/>
            <w:tcMar>
              <w:top w:w="12" w:type="dxa"/>
              <w:left w:w="12" w:type="dxa"/>
              <w:right w:w="12" w:type="dxa"/>
            </w:tcMar>
            <w:vAlign w:val="center"/>
          </w:tcPr>
          <w:p w14:paraId="636AE6E1">
            <w:pPr>
              <w:widowControl/>
              <w:spacing w:line="360" w:lineRule="exact"/>
              <w:ind w:firstLine="480"/>
              <w:jc w:val="center"/>
              <w:rPr>
                <w:rFonts w:ascii="宋体" w:hAnsi="宋体" w:eastAsia="宋体" w:cs="宋体"/>
                <w:sz w:val="22"/>
              </w:rPr>
            </w:pPr>
          </w:p>
        </w:tc>
      </w:tr>
      <w:tr w14:paraId="057B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8" w:type="dxa"/>
            <w:shd w:val="clear" w:color="auto" w:fill="FFFFFF" w:themeFill="background1"/>
            <w:noWrap/>
            <w:tcMar>
              <w:top w:w="12" w:type="dxa"/>
              <w:left w:w="12" w:type="dxa"/>
              <w:right w:w="12" w:type="dxa"/>
            </w:tcMar>
            <w:vAlign w:val="center"/>
          </w:tcPr>
          <w:p w14:paraId="18F12980">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 xml:space="preserve">1.11 </w:t>
            </w:r>
          </w:p>
        </w:tc>
        <w:tc>
          <w:tcPr>
            <w:tcW w:w="11814" w:type="dxa"/>
            <w:shd w:val="clear" w:color="auto" w:fill="FFFFFF" w:themeFill="background1"/>
            <w:tcMar>
              <w:top w:w="12" w:type="dxa"/>
              <w:left w:w="12" w:type="dxa"/>
              <w:right w:w="12" w:type="dxa"/>
            </w:tcMar>
            <w:vAlign w:val="center"/>
          </w:tcPr>
          <w:p w14:paraId="68359E8D">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参加造价行业组织的检查、评审、命题、阅卷等，加0.5分/人次</w:t>
            </w:r>
          </w:p>
        </w:tc>
        <w:tc>
          <w:tcPr>
            <w:tcW w:w="709" w:type="dxa"/>
            <w:shd w:val="clear" w:color="auto" w:fill="FFFFFF" w:themeFill="background1"/>
            <w:tcMar>
              <w:top w:w="12" w:type="dxa"/>
              <w:left w:w="12" w:type="dxa"/>
              <w:right w:w="12" w:type="dxa"/>
            </w:tcMar>
            <w:vAlign w:val="center"/>
          </w:tcPr>
          <w:p w14:paraId="7AD5D95D">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4</w:t>
            </w:r>
          </w:p>
        </w:tc>
        <w:tc>
          <w:tcPr>
            <w:tcW w:w="943" w:type="dxa"/>
            <w:vMerge w:val="continue"/>
            <w:shd w:val="clear" w:color="auto" w:fill="auto"/>
            <w:tcMar>
              <w:top w:w="12" w:type="dxa"/>
              <w:left w:w="12" w:type="dxa"/>
              <w:right w:w="12" w:type="dxa"/>
            </w:tcMar>
            <w:vAlign w:val="center"/>
          </w:tcPr>
          <w:p w14:paraId="65FB1B12">
            <w:pPr>
              <w:widowControl/>
              <w:spacing w:line="360" w:lineRule="exact"/>
              <w:ind w:firstLine="480"/>
              <w:jc w:val="center"/>
              <w:rPr>
                <w:rFonts w:ascii="宋体" w:hAnsi="宋体" w:eastAsia="宋体" w:cs="宋体"/>
                <w:sz w:val="22"/>
              </w:rPr>
            </w:pPr>
          </w:p>
        </w:tc>
      </w:tr>
      <w:tr w14:paraId="6E31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8" w:type="dxa"/>
            <w:shd w:val="clear" w:color="auto" w:fill="FFFFFF" w:themeFill="background1"/>
            <w:noWrap/>
            <w:tcMar>
              <w:top w:w="12" w:type="dxa"/>
              <w:left w:w="12" w:type="dxa"/>
              <w:right w:w="12" w:type="dxa"/>
            </w:tcMar>
            <w:vAlign w:val="center"/>
          </w:tcPr>
          <w:p w14:paraId="4665DDD2">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1.12</w:t>
            </w:r>
          </w:p>
        </w:tc>
        <w:tc>
          <w:tcPr>
            <w:tcW w:w="11814" w:type="dxa"/>
            <w:shd w:val="clear" w:color="auto" w:fill="FFFFFF" w:themeFill="background1"/>
            <w:tcMar>
              <w:top w:w="12" w:type="dxa"/>
              <w:left w:w="12" w:type="dxa"/>
              <w:right w:w="12" w:type="dxa"/>
            </w:tcMar>
            <w:vAlign w:val="center"/>
          </w:tcPr>
          <w:p w14:paraId="60A539A0">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提供在校学生、应届大学生等实习、实训机会的加0.1分/人；与高等院校或职业学院达成校企联合实训基地的加1分</w:t>
            </w:r>
          </w:p>
        </w:tc>
        <w:tc>
          <w:tcPr>
            <w:tcW w:w="709" w:type="dxa"/>
            <w:shd w:val="clear" w:color="auto" w:fill="FFFFFF" w:themeFill="background1"/>
            <w:tcMar>
              <w:top w:w="12" w:type="dxa"/>
              <w:left w:w="12" w:type="dxa"/>
              <w:right w:w="12" w:type="dxa"/>
            </w:tcMar>
            <w:vAlign w:val="center"/>
          </w:tcPr>
          <w:p w14:paraId="0899C897">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2</w:t>
            </w:r>
          </w:p>
        </w:tc>
        <w:tc>
          <w:tcPr>
            <w:tcW w:w="943" w:type="dxa"/>
            <w:vMerge w:val="continue"/>
            <w:shd w:val="clear" w:color="auto" w:fill="auto"/>
            <w:tcMar>
              <w:top w:w="12" w:type="dxa"/>
              <w:left w:w="12" w:type="dxa"/>
              <w:right w:w="12" w:type="dxa"/>
            </w:tcMar>
            <w:vAlign w:val="center"/>
          </w:tcPr>
          <w:p w14:paraId="25142683">
            <w:pPr>
              <w:widowControl/>
              <w:spacing w:line="360" w:lineRule="exact"/>
              <w:ind w:firstLine="480"/>
              <w:jc w:val="center"/>
              <w:textAlignment w:val="center"/>
              <w:rPr>
                <w:rFonts w:ascii="宋体" w:hAnsi="宋体" w:eastAsia="宋体" w:cs="宋体"/>
                <w:sz w:val="22"/>
              </w:rPr>
            </w:pPr>
          </w:p>
        </w:tc>
      </w:tr>
      <w:tr w14:paraId="3815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8" w:type="dxa"/>
            <w:shd w:val="clear" w:color="auto" w:fill="FFFFFF" w:themeFill="background1"/>
            <w:noWrap/>
            <w:tcMar>
              <w:top w:w="12" w:type="dxa"/>
              <w:left w:w="12" w:type="dxa"/>
              <w:right w:w="12" w:type="dxa"/>
            </w:tcMar>
            <w:vAlign w:val="center"/>
          </w:tcPr>
          <w:p w14:paraId="769CED0C">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1.13</w:t>
            </w:r>
          </w:p>
        </w:tc>
        <w:tc>
          <w:tcPr>
            <w:tcW w:w="11814" w:type="dxa"/>
            <w:shd w:val="clear" w:color="auto" w:fill="FFFFFF" w:themeFill="background1"/>
            <w:tcMar>
              <w:top w:w="12" w:type="dxa"/>
              <w:left w:w="12" w:type="dxa"/>
              <w:right w:w="12" w:type="dxa"/>
            </w:tcMar>
            <w:vAlign w:val="center"/>
          </w:tcPr>
          <w:p w14:paraId="6074248B">
            <w:pPr>
              <w:widowControl/>
              <w:spacing w:line="360" w:lineRule="exact"/>
              <w:jc w:val="left"/>
              <w:textAlignment w:val="center"/>
              <w:rPr>
                <w:rFonts w:ascii="宋体" w:hAnsi="宋体" w:eastAsia="宋体" w:cs="宋体"/>
                <w:sz w:val="22"/>
              </w:rPr>
            </w:pPr>
            <w:r>
              <w:rPr>
                <w:rFonts w:hint="eastAsia" w:ascii="宋体" w:hAnsi="宋体" w:eastAsia="宋体" w:cs="宋体"/>
                <w:kern w:val="0"/>
                <w:sz w:val="22"/>
              </w:rPr>
              <w:t xml:space="preserve">参与救灾、捐款、物资捐赠、助教、助残、扶贫等慈善公益活动，加0.5分/次                                                 </w:t>
            </w:r>
          </w:p>
        </w:tc>
        <w:tc>
          <w:tcPr>
            <w:tcW w:w="709" w:type="dxa"/>
            <w:shd w:val="clear" w:color="auto" w:fill="FFFFFF" w:themeFill="background1"/>
            <w:tcMar>
              <w:top w:w="12" w:type="dxa"/>
              <w:left w:w="12" w:type="dxa"/>
              <w:right w:w="12" w:type="dxa"/>
            </w:tcMar>
            <w:vAlign w:val="center"/>
          </w:tcPr>
          <w:p w14:paraId="1F4010F1">
            <w:pPr>
              <w:widowControl/>
              <w:spacing w:line="360" w:lineRule="exact"/>
              <w:jc w:val="center"/>
              <w:textAlignment w:val="center"/>
              <w:rPr>
                <w:rFonts w:ascii="宋体" w:hAnsi="宋体" w:eastAsia="宋体" w:cs="宋体"/>
                <w:sz w:val="22"/>
              </w:rPr>
            </w:pPr>
            <w:r>
              <w:rPr>
                <w:rFonts w:hint="eastAsia" w:ascii="宋体" w:hAnsi="宋体" w:eastAsia="宋体" w:cs="宋体"/>
                <w:kern w:val="0"/>
                <w:sz w:val="22"/>
              </w:rPr>
              <w:t>2</w:t>
            </w:r>
          </w:p>
        </w:tc>
        <w:tc>
          <w:tcPr>
            <w:tcW w:w="943" w:type="dxa"/>
            <w:vMerge w:val="continue"/>
            <w:shd w:val="clear" w:color="auto" w:fill="auto"/>
            <w:tcMar>
              <w:top w:w="12" w:type="dxa"/>
              <w:left w:w="12" w:type="dxa"/>
              <w:right w:w="12" w:type="dxa"/>
            </w:tcMar>
            <w:vAlign w:val="center"/>
          </w:tcPr>
          <w:p w14:paraId="6181282F">
            <w:pPr>
              <w:widowControl/>
              <w:spacing w:line="360" w:lineRule="exact"/>
              <w:ind w:firstLine="480"/>
              <w:jc w:val="center"/>
              <w:textAlignment w:val="center"/>
              <w:rPr>
                <w:rFonts w:ascii="宋体" w:hAnsi="宋体" w:eastAsia="宋体" w:cs="宋体"/>
                <w:sz w:val="22"/>
              </w:rPr>
            </w:pPr>
          </w:p>
        </w:tc>
      </w:tr>
    </w:tbl>
    <w:p w14:paraId="7FFEF681">
      <w:pPr>
        <w:widowControl/>
        <w:spacing w:line="400" w:lineRule="exact"/>
        <w:jc w:val="left"/>
        <w:textAlignment w:val="center"/>
        <w:rPr>
          <w:rFonts w:ascii="宋体" w:hAnsi="宋体" w:eastAsia="宋体" w:cs="宋体"/>
          <w:kern w:val="0"/>
          <w:sz w:val="22"/>
        </w:rPr>
      </w:pPr>
    </w:p>
    <w:p w14:paraId="60318F6E">
      <w:pPr>
        <w:widowControl/>
        <w:spacing w:line="400" w:lineRule="exact"/>
        <w:jc w:val="left"/>
        <w:textAlignment w:val="center"/>
        <w:rPr>
          <w:rFonts w:ascii="宋体" w:hAnsi="宋体" w:eastAsia="宋体" w:cs="宋体"/>
          <w:kern w:val="0"/>
          <w:sz w:val="22"/>
        </w:rPr>
      </w:pPr>
      <w:r>
        <w:rPr>
          <w:rFonts w:hint="eastAsia" w:ascii="宋体" w:hAnsi="宋体" w:eastAsia="宋体" w:cs="宋体"/>
          <w:kern w:val="0"/>
          <w:sz w:val="22"/>
        </w:rPr>
        <w:t>注：1. 企业填报相关信息，准备相关材料备查，接受社会监督；</w:t>
      </w:r>
      <w:r>
        <w:rPr>
          <w:rFonts w:hint="eastAsia" w:ascii="宋体" w:hAnsi="宋体" w:eastAsia="宋体" w:cs="宋体"/>
          <w:kern w:val="0"/>
          <w:sz w:val="22"/>
        </w:rPr>
        <w:tab/>
      </w:r>
    </w:p>
    <w:p w14:paraId="37103308">
      <w:pPr>
        <w:widowControl/>
        <w:spacing w:line="400" w:lineRule="exact"/>
        <w:ind w:left="8" w:leftChars="4" w:firstLine="440" w:firstLineChars="200"/>
        <w:jc w:val="left"/>
        <w:textAlignment w:val="center"/>
        <w:rPr>
          <w:rFonts w:ascii="Times New Roman" w:hAnsi="Times New Roman" w:eastAsia="仿宋_GB2312" w:cs="Times New Roman"/>
          <w:kern w:val="0"/>
          <w:sz w:val="22"/>
        </w:rPr>
      </w:pPr>
      <w:r>
        <w:rPr>
          <w:rFonts w:hint="eastAsia" w:ascii="宋体" w:hAnsi="宋体" w:eastAsia="宋体" w:cs="宋体"/>
          <w:kern w:val="0"/>
          <w:sz w:val="22"/>
        </w:rPr>
        <w:t>2. 同一项良好行为不得重复计分。</w:t>
      </w:r>
      <w:r>
        <w:rPr>
          <w:rFonts w:hint="eastAsia" w:ascii="Times New Roman" w:hAnsi="Times New Roman" w:eastAsia="仿宋_GB2312" w:cs="Times New Roman"/>
          <w:kern w:val="0"/>
          <w:sz w:val="22"/>
        </w:rPr>
        <w:tab/>
      </w:r>
    </w:p>
    <w:p w14:paraId="7B2449A4">
      <w:pPr>
        <w:ind w:firstLine="640"/>
      </w:pPr>
    </w:p>
    <w:p w14:paraId="265956B6">
      <w:pPr>
        <w:spacing w:line="540" w:lineRule="exact"/>
        <w:rPr>
          <w:rFonts w:ascii="仿宋_GB2312" w:hAnsi="仿宋_GB2312" w:eastAsia="仿宋_GB2312" w:cs="仿宋_GB2312"/>
          <w:sz w:val="32"/>
          <w:szCs w:val="32"/>
        </w:rPr>
      </w:pPr>
    </w:p>
    <w:p w14:paraId="17605CC4">
      <w:pPr>
        <w:spacing w:line="540" w:lineRule="exact"/>
        <w:rPr>
          <w:rFonts w:ascii="仿宋_GB2312" w:hAnsi="仿宋_GB2312" w:eastAsia="仿宋_GB2312" w:cs="仿宋_GB2312"/>
          <w:sz w:val="32"/>
          <w:szCs w:val="32"/>
        </w:rPr>
      </w:pPr>
    </w:p>
    <w:p w14:paraId="59EA9D1C">
      <w:pPr>
        <w:spacing w:line="540" w:lineRule="exact"/>
        <w:rPr>
          <w:rFonts w:ascii="仿宋_GB2312" w:hAnsi="仿宋_GB2312" w:eastAsia="仿宋_GB2312" w:cs="仿宋_GB2312"/>
          <w:sz w:val="32"/>
          <w:szCs w:val="32"/>
        </w:rPr>
      </w:pPr>
    </w:p>
    <w:p w14:paraId="2C959028">
      <w:pPr>
        <w:spacing w:afterLines="50" w:line="460" w:lineRule="exact"/>
        <w:jc w:val="left"/>
        <w:rPr>
          <w:rFonts w:ascii="方正小标宋简体" w:hAnsi="方正小标宋简体" w:eastAsia="方正小标宋简体" w:cs="方正小标宋简体"/>
          <w:position w:val="-6"/>
          <w:sz w:val="32"/>
          <w:szCs w:val="32"/>
        </w:rPr>
      </w:pPr>
    </w:p>
    <w:p w14:paraId="777D4F87">
      <w:pPr>
        <w:spacing w:afterLines="50" w:line="460" w:lineRule="exact"/>
        <w:jc w:val="left"/>
        <w:rPr>
          <w:rFonts w:ascii="方正小标宋简体" w:hAnsi="方正小标宋简体" w:eastAsia="方正小标宋简体" w:cs="方正小标宋简体"/>
          <w:position w:val="-6"/>
          <w:sz w:val="32"/>
          <w:szCs w:val="32"/>
        </w:rPr>
      </w:pPr>
      <w:r>
        <w:rPr>
          <w:rFonts w:hint="eastAsia" w:ascii="方正小标宋简体" w:hAnsi="方正小标宋简体" w:eastAsia="方正小标宋简体" w:cs="方正小标宋简体"/>
          <w:position w:val="-6"/>
          <w:sz w:val="32"/>
          <w:szCs w:val="32"/>
        </w:rPr>
        <w:t>附件4：</w:t>
      </w:r>
    </w:p>
    <w:p w14:paraId="0C92D7EA">
      <w:pPr>
        <w:spacing w:afterLines="50" w:line="460" w:lineRule="exact"/>
        <w:ind w:firstLine="720"/>
        <w:jc w:val="center"/>
        <w:rPr>
          <w:rFonts w:ascii="方正小标宋简体" w:hAnsi="方正小标宋简体" w:eastAsia="方正小标宋简体" w:cs="方正小标宋简体"/>
          <w:position w:val="-6"/>
          <w:sz w:val="36"/>
          <w:szCs w:val="36"/>
        </w:rPr>
      </w:pPr>
      <w:r>
        <w:rPr>
          <w:rFonts w:hint="eastAsia" w:ascii="方正小标宋简体" w:hAnsi="方正小标宋简体" w:eastAsia="方正小标宋简体" w:cs="方正小标宋简体"/>
          <w:position w:val="-6"/>
          <w:sz w:val="36"/>
          <w:szCs w:val="36"/>
        </w:rPr>
        <w:t>工程造价咨询企业不良行为扣分表</w:t>
      </w:r>
    </w:p>
    <w:tbl>
      <w:tblPr>
        <w:tblStyle w:val="8"/>
        <w:tblW w:w="14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
        <w:gridCol w:w="9959"/>
        <w:gridCol w:w="1134"/>
        <w:gridCol w:w="2350"/>
      </w:tblGrid>
      <w:tr w14:paraId="25E1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832" w:type="dxa"/>
            <w:shd w:val="clear" w:color="auto" w:fill="auto"/>
            <w:noWrap/>
            <w:tcMar>
              <w:top w:w="12" w:type="dxa"/>
              <w:left w:w="12" w:type="dxa"/>
              <w:right w:w="12" w:type="dxa"/>
            </w:tcMar>
            <w:vAlign w:val="center"/>
          </w:tcPr>
          <w:p w14:paraId="35C93B1E">
            <w:pPr>
              <w:widowControl/>
              <w:spacing w:line="300" w:lineRule="exact"/>
              <w:jc w:val="center"/>
              <w:textAlignment w:val="center"/>
              <w:rPr>
                <w:rFonts w:ascii="宋体" w:hAnsi="宋体" w:eastAsia="宋体" w:cs="宋体"/>
                <w:b/>
                <w:sz w:val="22"/>
              </w:rPr>
            </w:pPr>
            <w:r>
              <w:rPr>
                <w:rFonts w:hint="eastAsia" w:ascii="宋体" w:hAnsi="宋体" w:eastAsia="宋体" w:cs="宋体"/>
                <w:b/>
                <w:kern w:val="0"/>
                <w:sz w:val="22"/>
              </w:rPr>
              <w:t>序号</w:t>
            </w:r>
          </w:p>
        </w:tc>
        <w:tc>
          <w:tcPr>
            <w:tcW w:w="9959" w:type="dxa"/>
            <w:shd w:val="clear" w:color="auto" w:fill="auto"/>
            <w:noWrap/>
            <w:tcMar>
              <w:top w:w="12" w:type="dxa"/>
              <w:left w:w="12" w:type="dxa"/>
              <w:right w:w="12" w:type="dxa"/>
            </w:tcMar>
            <w:vAlign w:val="center"/>
          </w:tcPr>
          <w:p w14:paraId="3AD3985D">
            <w:pPr>
              <w:widowControl/>
              <w:spacing w:line="300" w:lineRule="exact"/>
              <w:jc w:val="center"/>
              <w:textAlignment w:val="center"/>
              <w:rPr>
                <w:rFonts w:ascii="宋体" w:hAnsi="宋体" w:eastAsia="宋体" w:cs="宋体"/>
                <w:b/>
                <w:sz w:val="22"/>
              </w:rPr>
            </w:pPr>
            <w:r>
              <w:rPr>
                <w:rFonts w:hint="eastAsia" w:ascii="宋体" w:hAnsi="宋体" w:eastAsia="宋体" w:cs="宋体"/>
                <w:b/>
                <w:kern w:val="0"/>
                <w:sz w:val="22"/>
              </w:rPr>
              <w:t>不良行为扣分项内容</w:t>
            </w:r>
          </w:p>
        </w:tc>
        <w:tc>
          <w:tcPr>
            <w:tcW w:w="1134" w:type="dxa"/>
            <w:shd w:val="clear" w:color="auto" w:fill="auto"/>
            <w:noWrap/>
            <w:tcMar>
              <w:top w:w="12" w:type="dxa"/>
              <w:left w:w="12" w:type="dxa"/>
              <w:right w:w="12" w:type="dxa"/>
            </w:tcMar>
            <w:vAlign w:val="center"/>
          </w:tcPr>
          <w:p w14:paraId="11ECEA30">
            <w:pPr>
              <w:widowControl/>
              <w:spacing w:line="300" w:lineRule="exact"/>
              <w:jc w:val="center"/>
              <w:textAlignment w:val="center"/>
              <w:rPr>
                <w:rFonts w:ascii="宋体" w:hAnsi="宋体" w:eastAsia="宋体" w:cs="宋体"/>
                <w:b/>
                <w:sz w:val="22"/>
              </w:rPr>
            </w:pPr>
            <w:r>
              <w:rPr>
                <w:rFonts w:hint="eastAsia" w:ascii="宋体" w:hAnsi="宋体" w:eastAsia="宋体" w:cs="宋体"/>
                <w:b/>
                <w:kern w:val="0"/>
                <w:sz w:val="22"/>
              </w:rPr>
              <w:t>每次扣分</w:t>
            </w:r>
          </w:p>
        </w:tc>
        <w:tc>
          <w:tcPr>
            <w:tcW w:w="2350" w:type="dxa"/>
            <w:shd w:val="clear" w:color="auto" w:fill="auto"/>
            <w:noWrap/>
            <w:tcMar>
              <w:top w:w="12" w:type="dxa"/>
              <w:left w:w="12" w:type="dxa"/>
              <w:right w:w="12" w:type="dxa"/>
            </w:tcMar>
            <w:vAlign w:val="center"/>
          </w:tcPr>
          <w:p w14:paraId="6B415446">
            <w:pPr>
              <w:widowControl/>
              <w:spacing w:line="300" w:lineRule="exact"/>
              <w:jc w:val="center"/>
              <w:textAlignment w:val="center"/>
              <w:rPr>
                <w:rFonts w:ascii="宋体" w:hAnsi="宋体" w:eastAsia="宋体" w:cs="宋体"/>
                <w:b/>
                <w:sz w:val="22"/>
              </w:rPr>
            </w:pPr>
            <w:r>
              <w:rPr>
                <w:rFonts w:hint="eastAsia" w:ascii="宋体" w:hAnsi="宋体" w:eastAsia="宋体" w:cs="宋体"/>
                <w:b/>
                <w:kern w:val="0"/>
                <w:sz w:val="22"/>
              </w:rPr>
              <w:t>说明</w:t>
            </w:r>
          </w:p>
        </w:tc>
      </w:tr>
      <w:tr w14:paraId="45DA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4275" w:type="dxa"/>
            <w:gridSpan w:val="4"/>
            <w:shd w:val="clear" w:color="auto" w:fill="auto"/>
            <w:noWrap/>
            <w:tcMar>
              <w:top w:w="12" w:type="dxa"/>
              <w:left w:w="12" w:type="dxa"/>
              <w:right w:w="12" w:type="dxa"/>
            </w:tcMar>
            <w:vAlign w:val="center"/>
          </w:tcPr>
          <w:p w14:paraId="4099835A">
            <w:pPr>
              <w:widowControl/>
              <w:spacing w:line="300" w:lineRule="exact"/>
              <w:jc w:val="center"/>
              <w:rPr>
                <w:rFonts w:ascii="宋体" w:hAnsi="宋体" w:eastAsia="宋体" w:cs="宋体"/>
                <w:kern w:val="0"/>
                <w:sz w:val="22"/>
              </w:rPr>
            </w:pPr>
            <w:r>
              <w:rPr>
                <w:rFonts w:hint="eastAsia" w:ascii="宋体" w:hAnsi="宋体" w:eastAsia="宋体" w:cs="宋体"/>
                <w:kern w:val="0"/>
                <w:sz w:val="22"/>
              </w:rPr>
              <w:t>I</w:t>
            </w:r>
          </w:p>
        </w:tc>
      </w:tr>
      <w:tr w14:paraId="2C93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832" w:type="dxa"/>
            <w:shd w:val="clear" w:color="auto" w:fill="auto"/>
            <w:noWrap/>
            <w:tcMar>
              <w:top w:w="12" w:type="dxa"/>
              <w:left w:w="12" w:type="dxa"/>
              <w:right w:w="12" w:type="dxa"/>
            </w:tcMar>
            <w:vAlign w:val="center"/>
          </w:tcPr>
          <w:p w14:paraId="2193E070">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1.1 </w:t>
            </w:r>
          </w:p>
        </w:tc>
        <w:tc>
          <w:tcPr>
            <w:tcW w:w="9959" w:type="dxa"/>
            <w:shd w:val="clear" w:color="auto" w:fill="auto"/>
            <w:tcMar>
              <w:top w:w="12" w:type="dxa"/>
              <w:left w:w="12" w:type="dxa"/>
              <w:right w:w="12" w:type="dxa"/>
            </w:tcMar>
            <w:vAlign w:val="center"/>
          </w:tcPr>
          <w:p w14:paraId="38860E9F">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企业法定代表人、技术负责人因本企业职务行为受到刑事处罚或严重的行政处罚</w:t>
            </w:r>
          </w:p>
        </w:tc>
        <w:tc>
          <w:tcPr>
            <w:tcW w:w="1134" w:type="dxa"/>
            <w:vMerge w:val="restart"/>
            <w:shd w:val="clear" w:color="auto" w:fill="auto"/>
            <w:tcMar>
              <w:top w:w="12" w:type="dxa"/>
              <w:left w:w="12" w:type="dxa"/>
              <w:right w:w="12" w:type="dxa"/>
            </w:tcMar>
            <w:vAlign w:val="center"/>
          </w:tcPr>
          <w:p w14:paraId="627BE116">
            <w:pPr>
              <w:widowControl/>
              <w:spacing w:line="300" w:lineRule="exact"/>
              <w:jc w:val="center"/>
              <w:rPr>
                <w:rFonts w:ascii="宋体" w:hAnsi="宋体" w:eastAsia="宋体" w:cs="宋体"/>
                <w:sz w:val="22"/>
              </w:rPr>
            </w:pPr>
          </w:p>
        </w:tc>
        <w:tc>
          <w:tcPr>
            <w:tcW w:w="2350" w:type="dxa"/>
            <w:vMerge w:val="restart"/>
            <w:shd w:val="clear" w:color="auto" w:fill="auto"/>
            <w:tcMar>
              <w:top w:w="12" w:type="dxa"/>
              <w:left w:w="12" w:type="dxa"/>
              <w:right w:w="12" w:type="dxa"/>
            </w:tcMar>
            <w:vAlign w:val="center"/>
          </w:tcPr>
          <w:p w14:paraId="241395A5">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1、企业如发生此类不良行为的，信用级别直接降为最低级；</w:t>
            </w:r>
            <w:r>
              <w:rPr>
                <w:rFonts w:hint="eastAsia" w:ascii="宋体" w:hAnsi="宋体" w:eastAsia="宋体" w:cs="宋体"/>
                <w:kern w:val="0"/>
                <w:sz w:val="22"/>
              </w:rPr>
              <w:br w:type="textWrapping"/>
            </w:r>
            <w:r>
              <w:rPr>
                <w:rFonts w:hint="eastAsia" w:ascii="宋体" w:hAnsi="宋体" w:eastAsia="宋体" w:cs="宋体"/>
                <w:kern w:val="0"/>
                <w:sz w:val="22"/>
              </w:rPr>
              <w:t>2、应说明不良行为的具体内容，相应文书、文件的名称或文号等。</w:t>
            </w:r>
          </w:p>
        </w:tc>
      </w:tr>
      <w:tr w14:paraId="0150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832" w:type="dxa"/>
            <w:shd w:val="clear" w:color="auto" w:fill="auto"/>
            <w:noWrap/>
            <w:tcMar>
              <w:top w:w="12" w:type="dxa"/>
              <w:left w:w="12" w:type="dxa"/>
              <w:right w:w="12" w:type="dxa"/>
            </w:tcMar>
            <w:vAlign w:val="center"/>
          </w:tcPr>
          <w:p w14:paraId="5B0BEA04">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1.2 </w:t>
            </w:r>
          </w:p>
        </w:tc>
        <w:tc>
          <w:tcPr>
            <w:tcW w:w="9959" w:type="dxa"/>
            <w:shd w:val="clear" w:color="auto" w:fill="auto"/>
            <w:tcMar>
              <w:top w:w="12" w:type="dxa"/>
              <w:left w:w="12" w:type="dxa"/>
              <w:right w:w="12" w:type="dxa"/>
            </w:tcMar>
            <w:vAlign w:val="center"/>
          </w:tcPr>
          <w:p w14:paraId="70619940">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企业或企业的法定代表人、技术负责人受到行业协会公开谴责惩戒</w:t>
            </w:r>
          </w:p>
        </w:tc>
        <w:tc>
          <w:tcPr>
            <w:tcW w:w="1134" w:type="dxa"/>
            <w:vMerge w:val="continue"/>
            <w:shd w:val="clear" w:color="auto" w:fill="auto"/>
            <w:tcMar>
              <w:top w:w="12" w:type="dxa"/>
              <w:left w:w="12" w:type="dxa"/>
              <w:right w:w="12" w:type="dxa"/>
            </w:tcMar>
            <w:vAlign w:val="center"/>
          </w:tcPr>
          <w:p w14:paraId="5D6BFB39">
            <w:pPr>
              <w:widowControl/>
              <w:spacing w:line="300" w:lineRule="exact"/>
              <w:jc w:val="center"/>
              <w:rPr>
                <w:rFonts w:ascii="宋体" w:hAnsi="宋体" w:eastAsia="宋体" w:cs="宋体"/>
                <w:sz w:val="22"/>
              </w:rPr>
            </w:pPr>
          </w:p>
        </w:tc>
        <w:tc>
          <w:tcPr>
            <w:tcW w:w="2350" w:type="dxa"/>
            <w:vMerge w:val="continue"/>
            <w:shd w:val="clear" w:color="auto" w:fill="auto"/>
            <w:tcMar>
              <w:top w:w="12" w:type="dxa"/>
              <w:left w:w="12" w:type="dxa"/>
              <w:right w:w="12" w:type="dxa"/>
            </w:tcMar>
            <w:vAlign w:val="center"/>
          </w:tcPr>
          <w:p w14:paraId="4B985F89">
            <w:pPr>
              <w:widowControl/>
              <w:spacing w:line="300" w:lineRule="exact"/>
              <w:jc w:val="left"/>
              <w:rPr>
                <w:rFonts w:ascii="宋体" w:hAnsi="宋体" w:eastAsia="宋体" w:cs="宋体"/>
                <w:sz w:val="22"/>
              </w:rPr>
            </w:pPr>
          </w:p>
        </w:tc>
      </w:tr>
      <w:tr w14:paraId="2B0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832" w:type="dxa"/>
            <w:shd w:val="clear" w:color="auto" w:fill="auto"/>
            <w:noWrap/>
            <w:tcMar>
              <w:top w:w="12" w:type="dxa"/>
              <w:left w:w="12" w:type="dxa"/>
              <w:right w:w="12" w:type="dxa"/>
            </w:tcMar>
            <w:vAlign w:val="center"/>
          </w:tcPr>
          <w:p w14:paraId="21690810">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1.3 </w:t>
            </w:r>
          </w:p>
        </w:tc>
        <w:tc>
          <w:tcPr>
            <w:tcW w:w="9959" w:type="dxa"/>
            <w:shd w:val="clear" w:color="auto" w:fill="auto"/>
            <w:tcMar>
              <w:top w:w="12" w:type="dxa"/>
              <w:left w:w="12" w:type="dxa"/>
              <w:right w:w="12" w:type="dxa"/>
            </w:tcMar>
            <w:vAlign w:val="center"/>
          </w:tcPr>
          <w:p w14:paraId="267D0ADB">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企业以其它企业名义或同意其它企业以自身名义进行投标或承接造价咨询业务</w:t>
            </w:r>
          </w:p>
        </w:tc>
        <w:tc>
          <w:tcPr>
            <w:tcW w:w="1134" w:type="dxa"/>
            <w:vMerge w:val="continue"/>
            <w:shd w:val="clear" w:color="auto" w:fill="auto"/>
            <w:tcMar>
              <w:top w:w="12" w:type="dxa"/>
              <w:left w:w="12" w:type="dxa"/>
              <w:right w:w="12" w:type="dxa"/>
            </w:tcMar>
            <w:vAlign w:val="center"/>
          </w:tcPr>
          <w:p w14:paraId="73C2823B">
            <w:pPr>
              <w:widowControl/>
              <w:spacing w:line="300" w:lineRule="exact"/>
              <w:jc w:val="center"/>
              <w:rPr>
                <w:rFonts w:ascii="宋体" w:hAnsi="宋体" w:eastAsia="宋体" w:cs="宋体"/>
                <w:sz w:val="22"/>
              </w:rPr>
            </w:pPr>
          </w:p>
        </w:tc>
        <w:tc>
          <w:tcPr>
            <w:tcW w:w="2350" w:type="dxa"/>
            <w:vMerge w:val="continue"/>
            <w:shd w:val="clear" w:color="auto" w:fill="auto"/>
            <w:tcMar>
              <w:top w:w="12" w:type="dxa"/>
              <w:left w:w="12" w:type="dxa"/>
              <w:right w:w="12" w:type="dxa"/>
            </w:tcMar>
            <w:vAlign w:val="center"/>
          </w:tcPr>
          <w:p w14:paraId="7226A958">
            <w:pPr>
              <w:widowControl/>
              <w:spacing w:line="300" w:lineRule="exact"/>
              <w:jc w:val="left"/>
              <w:rPr>
                <w:rFonts w:ascii="宋体" w:hAnsi="宋体" w:eastAsia="宋体" w:cs="宋体"/>
                <w:sz w:val="22"/>
              </w:rPr>
            </w:pPr>
          </w:p>
        </w:tc>
      </w:tr>
      <w:tr w14:paraId="11FC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832" w:type="dxa"/>
            <w:shd w:val="clear" w:color="auto" w:fill="auto"/>
            <w:noWrap/>
            <w:tcMar>
              <w:top w:w="12" w:type="dxa"/>
              <w:left w:w="12" w:type="dxa"/>
              <w:right w:w="12" w:type="dxa"/>
            </w:tcMar>
            <w:vAlign w:val="center"/>
          </w:tcPr>
          <w:p w14:paraId="1838044E">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1.4 </w:t>
            </w:r>
          </w:p>
        </w:tc>
        <w:tc>
          <w:tcPr>
            <w:tcW w:w="9959" w:type="dxa"/>
            <w:shd w:val="clear" w:color="auto" w:fill="FFFFFF"/>
            <w:tcMar>
              <w:top w:w="12" w:type="dxa"/>
              <w:left w:w="12" w:type="dxa"/>
              <w:right w:w="12" w:type="dxa"/>
            </w:tcMar>
            <w:vAlign w:val="center"/>
          </w:tcPr>
          <w:p w14:paraId="5583FD36">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企业提供虚假评价材料或拒绝接受造价管理机构、行业协会监督检查，情节严重，经查属实</w:t>
            </w:r>
          </w:p>
        </w:tc>
        <w:tc>
          <w:tcPr>
            <w:tcW w:w="1134" w:type="dxa"/>
            <w:vMerge w:val="continue"/>
            <w:shd w:val="clear" w:color="auto" w:fill="auto"/>
            <w:tcMar>
              <w:top w:w="12" w:type="dxa"/>
              <w:left w:w="12" w:type="dxa"/>
              <w:right w:w="12" w:type="dxa"/>
            </w:tcMar>
            <w:vAlign w:val="center"/>
          </w:tcPr>
          <w:p w14:paraId="66AF2D24">
            <w:pPr>
              <w:widowControl/>
              <w:spacing w:line="300" w:lineRule="exact"/>
              <w:jc w:val="center"/>
              <w:rPr>
                <w:rFonts w:ascii="宋体" w:hAnsi="宋体" w:eastAsia="宋体" w:cs="宋体"/>
                <w:sz w:val="22"/>
              </w:rPr>
            </w:pPr>
          </w:p>
        </w:tc>
        <w:tc>
          <w:tcPr>
            <w:tcW w:w="2350" w:type="dxa"/>
            <w:vMerge w:val="continue"/>
            <w:shd w:val="clear" w:color="auto" w:fill="auto"/>
            <w:tcMar>
              <w:top w:w="12" w:type="dxa"/>
              <w:left w:w="12" w:type="dxa"/>
              <w:right w:w="12" w:type="dxa"/>
            </w:tcMar>
            <w:vAlign w:val="center"/>
          </w:tcPr>
          <w:p w14:paraId="3D229B8C">
            <w:pPr>
              <w:widowControl/>
              <w:spacing w:line="300" w:lineRule="exact"/>
              <w:jc w:val="left"/>
              <w:rPr>
                <w:rFonts w:ascii="宋体" w:hAnsi="宋体" w:eastAsia="宋体" w:cs="宋体"/>
                <w:sz w:val="22"/>
              </w:rPr>
            </w:pPr>
          </w:p>
        </w:tc>
      </w:tr>
      <w:tr w14:paraId="6245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832" w:type="dxa"/>
            <w:shd w:val="clear" w:color="auto" w:fill="auto"/>
            <w:noWrap/>
            <w:tcMar>
              <w:top w:w="12" w:type="dxa"/>
              <w:left w:w="12" w:type="dxa"/>
              <w:right w:w="12" w:type="dxa"/>
            </w:tcMar>
            <w:vAlign w:val="center"/>
          </w:tcPr>
          <w:p w14:paraId="6117FF69">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1.5 </w:t>
            </w:r>
          </w:p>
        </w:tc>
        <w:tc>
          <w:tcPr>
            <w:tcW w:w="9959" w:type="dxa"/>
            <w:shd w:val="clear" w:color="auto" w:fill="auto"/>
            <w:tcMar>
              <w:top w:w="12" w:type="dxa"/>
              <w:left w:w="12" w:type="dxa"/>
              <w:right w:w="12" w:type="dxa"/>
            </w:tcMar>
            <w:vAlign w:val="center"/>
          </w:tcPr>
          <w:p w14:paraId="42E1235E">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有法律、法规、规章及行业规定的其他严重违法、违规行为</w:t>
            </w:r>
          </w:p>
        </w:tc>
        <w:tc>
          <w:tcPr>
            <w:tcW w:w="1134" w:type="dxa"/>
            <w:vMerge w:val="continue"/>
            <w:shd w:val="clear" w:color="auto" w:fill="auto"/>
            <w:tcMar>
              <w:top w:w="12" w:type="dxa"/>
              <w:left w:w="12" w:type="dxa"/>
              <w:right w:w="12" w:type="dxa"/>
            </w:tcMar>
            <w:vAlign w:val="center"/>
          </w:tcPr>
          <w:p w14:paraId="1EC8D578">
            <w:pPr>
              <w:widowControl/>
              <w:spacing w:line="300" w:lineRule="exact"/>
              <w:jc w:val="center"/>
              <w:rPr>
                <w:rFonts w:ascii="宋体" w:hAnsi="宋体" w:eastAsia="宋体" w:cs="宋体"/>
                <w:sz w:val="22"/>
              </w:rPr>
            </w:pPr>
          </w:p>
        </w:tc>
        <w:tc>
          <w:tcPr>
            <w:tcW w:w="2350" w:type="dxa"/>
            <w:vMerge w:val="continue"/>
            <w:shd w:val="clear" w:color="auto" w:fill="auto"/>
            <w:tcMar>
              <w:top w:w="12" w:type="dxa"/>
              <w:left w:w="12" w:type="dxa"/>
              <w:right w:w="12" w:type="dxa"/>
            </w:tcMar>
            <w:vAlign w:val="center"/>
          </w:tcPr>
          <w:p w14:paraId="0E447103">
            <w:pPr>
              <w:widowControl/>
              <w:spacing w:line="300" w:lineRule="exact"/>
              <w:jc w:val="left"/>
              <w:rPr>
                <w:rFonts w:ascii="宋体" w:hAnsi="宋体" w:eastAsia="宋体" w:cs="宋体"/>
                <w:sz w:val="22"/>
              </w:rPr>
            </w:pPr>
          </w:p>
        </w:tc>
      </w:tr>
      <w:tr w14:paraId="7C9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275" w:type="dxa"/>
            <w:gridSpan w:val="4"/>
            <w:shd w:val="clear" w:color="auto" w:fill="auto"/>
            <w:noWrap/>
            <w:tcMar>
              <w:top w:w="12" w:type="dxa"/>
              <w:left w:w="12" w:type="dxa"/>
              <w:right w:w="12" w:type="dxa"/>
            </w:tcMar>
            <w:vAlign w:val="center"/>
          </w:tcPr>
          <w:p w14:paraId="4DDBF13B">
            <w:pPr>
              <w:widowControl/>
              <w:spacing w:line="300" w:lineRule="exact"/>
              <w:jc w:val="center"/>
              <w:rPr>
                <w:rFonts w:ascii="宋体" w:hAnsi="宋体" w:eastAsia="宋体" w:cs="宋体"/>
                <w:kern w:val="0"/>
                <w:sz w:val="22"/>
              </w:rPr>
            </w:pPr>
            <w:r>
              <w:rPr>
                <w:rFonts w:hint="eastAsia" w:ascii="宋体" w:hAnsi="宋体" w:eastAsia="宋体" w:cs="宋体"/>
                <w:kern w:val="0"/>
                <w:sz w:val="22"/>
              </w:rPr>
              <w:t>II</w:t>
            </w:r>
          </w:p>
        </w:tc>
      </w:tr>
      <w:tr w14:paraId="76F5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 w:type="dxa"/>
            <w:shd w:val="clear" w:color="auto" w:fill="auto"/>
            <w:noWrap/>
            <w:tcMar>
              <w:top w:w="12" w:type="dxa"/>
              <w:left w:w="12" w:type="dxa"/>
              <w:right w:w="12" w:type="dxa"/>
            </w:tcMar>
            <w:vAlign w:val="center"/>
          </w:tcPr>
          <w:p w14:paraId="656B2564">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2.1 </w:t>
            </w:r>
          </w:p>
        </w:tc>
        <w:tc>
          <w:tcPr>
            <w:tcW w:w="9959" w:type="dxa"/>
            <w:shd w:val="clear" w:color="auto" w:fill="auto"/>
            <w:tcMar>
              <w:top w:w="12" w:type="dxa"/>
              <w:left w:w="12" w:type="dxa"/>
              <w:right w:w="12" w:type="dxa"/>
            </w:tcMar>
            <w:vAlign w:val="center"/>
          </w:tcPr>
          <w:p w14:paraId="2AAB9193">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在本企业的人员因本企业职务行为受到严重刑事处罚或行政处罚</w:t>
            </w:r>
          </w:p>
        </w:tc>
        <w:tc>
          <w:tcPr>
            <w:tcW w:w="1134" w:type="dxa"/>
            <w:shd w:val="clear" w:color="auto" w:fill="auto"/>
            <w:tcMar>
              <w:top w:w="12" w:type="dxa"/>
              <w:left w:w="12" w:type="dxa"/>
              <w:right w:w="12" w:type="dxa"/>
            </w:tcMar>
            <w:vAlign w:val="center"/>
          </w:tcPr>
          <w:p w14:paraId="532DC3DC">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5</w:t>
            </w:r>
          </w:p>
        </w:tc>
        <w:tc>
          <w:tcPr>
            <w:tcW w:w="2350" w:type="dxa"/>
            <w:vMerge w:val="restart"/>
            <w:shd w:val="clear" w:color="auto" w:fill="auto"/>
            <w:tcMar>
              <w:top w:w="12" w:type="dxa"/>
              <w:left w:w="12" w:type="dxa"/>
              <w:right w:w="12" w:type="dxa"/>
            </w:tcMar>
          </w:tcPr>
          <w:p w14:paraId="4F4BEFB4">
            <w:pPr>
              <w:widowControl/>
              <w:spacing w:line="300" w:lineRule="exact"/>
              <w:textAlignment w:val="center"/>
              <w:rPr>
                <w:rFonts w:ascii="宋体" w:hAnsi="宋体" w:eastAsia="宋体" w:cs="宋体"/>
                <w:kern w:val="0"/>
                <w:sz w:val="22"/>
              </w:rPr>
            </w:pPr>
          </w:p>
          <w:p w14:paraId="1ED03C34">
            <w:pPr>
              <w:widowControl/>
              <w:spacing w:line="300" w:lineRule="exact"/>
              <w:textAlignment w:val="center"/>
              <w:rPr>
                <w:rFonts w:ascii="宋体" w:hAnsi="宋体" w:eastAsia="宋体" w:cs="宋体"/>
                <w:kern w:val="0"/>
                <w:sz w:val="22"/>
              </w:rPr>
            </w:pPr>
          </w:p>
          <w:p w14:paraId="38B316B0">
            <w:pPr>
              <w:widowControl/>
              <w:spacing w:line="300" w:lineRule="exact"/>
              <w:textAlignment w:val="center"/>
              <w:rPr>
                <w:rFonts w:ascii="宋体" w:hAnsi="宋体" w:eastAsia="宋体" w:cs="宋体"/>
                <w:kern w:val="0"/>
                <w:sz w:val="22"/>
              </w:rPr>
            </w:pPr>
          </w:p>
          <w:p w14:paraId="32C9DCFE">
            <w:pPr>
              <w:widowControl/>
              <w:spacing w:line="300" w:lineRule="exact"/>
              <w:textAlignment w:val="center"/>
              <w:rPr>
                <w:rFonts w:ascii="宋体" w:hAnsi="宋体" w:eastAsia="宋体" w:cs="宋体"/>
                <w:kern w:val="0"/>
                <w:sz w:val="22"/>
              </w:rPr>
            </w:pPr>
          </w:p>
          <w:p w14:paraId="2D0145A2">
            <w:pPr>
              <w:widowControl/>
              <w:spacing w:line="300" w:lineRule="exact"/>
              <w:textAlignment w:val="center"/>
              <w:rPr>
                <w:rFonts w:ascii="宋体" w:hAnsi="宋体" w:eastAsia="宋体" w:cs="宋体"/>
                <w:kern w:val="0"/>
                <w:sz w:val="22"/>
              </w:rPr>
            </w:pPr>
          </w:p>
          <w:p w14:paraId="505BA64A">
            <w:pPr>
              <w:widowControl/>
              <w:spacing w:line="300" w:lineRule="exact"/>
              <w:textAlignment w:val="center"/>
              <w:rPr>
                <w:rFonts w:ascii="宋体" w:hAnsi="宋体" w:eastAsia="宋体" w:cs="宋体"/>
                <w:kern w:val="0"/>
                <w:sz w:val="22"/>
              </w:rPr>
            </w:pPr>
          </w:p>
          <w:p w14:paraId="00E9B487">
            <w:pPr>
              <w:widowControl/>
              <w:spacing w:line="300" w:lineRule="exact"/>
              <w:textAlignment w:val="center"/>
              <w:rPr>
                <w:rFonts w:ascii="宋体" w:hAnsi="宋体" w:eastAsia="宋体" w:cs="宋体"/>
                <w:kern w:val="0"/>
                <w:sz w:val="22"/>
              </w:rPr>
            </w:pPr>
          </w:p>
          <w:p w14:paraId="1D8AF274">
            <w:pPr>
              <w:widowControl/>
              <w:spacing w:line="300" w:lineRule="exact"/>
              <w:textAlignment w:val="center"/>
              <w:rPr>
                <w:rFonts w:ascii="宋体" w:hAnsi="宋体" w:eastAsia="宋体" w:cs="宋体"/>
                <w:kern w:val="0"/>
                <w:sz w:val="22"/>
              </w:rPr>
            </w:pPr>
            <w:r>
              <w:rPr>
                <w:rFonts w:hint="eastAsia" w:ascii="宋体" w:hAnsi="宋体" w:eastAsia="宋体" w:cs="宋体"/>
                <w:kern w:val="0"/>
                <w:sz w:val="22"/>
              </w:rPr>
              <w:t>1、企业如发生此类不良行为的，按相应条目进行扣分，分值可累计；</w:t>
            </w:r>
          </w:p>
          <w:p w14:paraId="5F8C26C9">
            <w:pPr>
              <w:widowControl/>
              <w:spacing w:line="300" w:lineRule="exact"/>
              <w:textAlignment w:val="center"/>
              <w:rPr>
                <w:rFonts w:ascii="宋体" w:hAnsi="宋体" w:eastAsia="宋体" w:cs="宋体"/>
                <w:sz w:val="22"/>
              </w:rPr>
            </w:pPr>
            <w:r>
              <w:rPr>
                <w:rFonts w:hint="eastAsia" w:ascii="宋体" w:hAnsi="宋体" w:eastAsia="宋体" w:cs="宋体"/>
                <w:kern w:val="0"/>
                <w:sz w:val="22"/>
              </w:rPr>
              <w:t>2、不良行为信息根据政府主管部门、造价行业管理机构、造价行业协会记录或经查实的举报、投诉等；</w:t>
            </w:r>
            <w:r>
              <w:rPr>
                <w:rFonts w:hint="eastAsia" w:ascii="宋体" w:hAnsi="宋体" w:eastAsia="宋体" w:cs="宋体"/>
                <w:kern w:val="0"/>
                <w:sz w:val="22"/>
              </w:rPr>
              <w:br w:type="textWrapping"/>
            </w:r>
            <w:r>
              <w:rPr>
                <w:rFonts w:hint="eastAsia" w:ascii="宋体" w:hAnsi="宋体" w:eastAsia="宋体" w:cs="宋体"/>
                <w:kern w:val="0"/>
                <w:sz w:val="22"/>
              </w:rPr>
              <w:t>3、应说明不良行为的具体内容，相应文书、文件的名称或文号等。</w:t>
            </w:r>
          </w:p>
        </w:tc>
      </w:tr>
      <w:tr w14:paraId="1BE5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832" w:type="dxa"/>
            <w:shd w:val="clear" w:color="auto" w:fill="auto"/>
            <w:noWrap/>
            <w:tcMar>
              <w:top w:w="12" w:type="dxa"/>
              <w:left w:w="12" w:type="dxa"/>
              <w:right w:w="12" w:type="dxa"/>
            </w:tcMar>
            <w:vAlign w:val="center"/>
          </w:tcPr>
          <w:p w14:paraId="11AA8F69">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2.2</w:t>
            </w:r>
          </w:p>
        </w:tc>
        <w:tc>
          <w:tcPr>
            <w:tcW w:w="9959" w:type="dxa"/>
            <w:shd w:val="clear" w:color="auto" w:fill="auto"/>
            <w:tcMar>
              <w:top w:w="12" w:type="dxa"/>
              <w:left w:w="12" w:type="dxa"/>
              <w:right w:w="12" w:type="dxa"/>
            </w:tcMar>
            <w:vAlign w:val="center"/>
          </w:tcPr>
          <w:p w14:paraId="49A0E55F">
            <w:pPr>
              <w:widowControl/>
              <w:spacing w:line="300" w:lineRule="exact"/>
              <w:jc w:val="left"/>
              <w:textAlignment w:val="center"/>
              <w:rPr>
                <w:rFonts w:ascii="宋体" w:hAnsi="宋体" w:eastAsia="宋体" w:cs="宋体"/>
                <w:kern w:val="0"/>
                <w:sz w:val="22"/>
              </w:rPr>
            </w:pPr>
            <w:r>
              <w:rPr>
                <w:rFonts w:hint="eastAsia" w:ascii="宋体" w:hAnsi="宋体" w:eastAsia="宋体" w:cs="宋体"/>
                <w:kern w:val="0"/>
                <w:sz w:val="22"/>
              </w:rPr>
              <w:t>被县级及以上建设行政主管部门、相关行政主管部门、行业管理机构、行业协会处以通报、责令整改或其它处罚</w:t>
            </w:r>
          </w:p>
        </w:tc>
        <w:tc>
          <w:tcPr>
            <w:tcW w:w="1134" w:type="dxa"/>
            <w:shd w:val="clear" w:color="auto" w:fill="auto"/>
            <w:tcMar>
              <w:top w:w="12" w:type="dxa"/>
              <w:left w:w="12" w:type="dxa"/>
              <w:right w:w="12" w:type="dxa"/>
            </w:tcMar>
            <w:vAlign w:val="center"/>
          </w:tcPr>
          <w:p w14:paraId="3F5AF5B0">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5</w:t>
            </w:r>
          </w:p>
        </w:tc>
        <w:tc>
          <w:tcPr>
            <w:tcW w:w="2350" w:type="dxa"/>
            <w:vMerge w:val="continue"/>
            <w:shd w:val="clear" w:color="auto" w:fill="auto"/>
            <w:tcMar>
              <w:top w:w="12" w:type="dxa"/>
              <w:left w:w="12" w:type="dxa"/>
              <w:right w:w="12" w:type="dxa"/>
            </w:tcMar>
            <w:vAlign w:val="center"/>
          </w:tcPr>
          <w:p w14:paraId="05A3A8D4">
            <w:pPr>
              <w:widowControl/>
              <w:spacing w:line="300" w:lineRule="exact"/>
              <w:jc w:val="center"/>
              <w:rPr>
                <w:rFonts w:ascii="宋体" w:hAnsi="宋体" w:eastAsia="宋体" w:cs="宋体"/>
                <w:sz w:val="22"/>
              </w:rPr>
            </w:pPr>
          </w:p>
        </w:tc>
      </w:tr>
      <w:tr w14:paraId="731F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832" w:type="dxa"/>
            <w:shd w:val="clear" w:color="auto" w:fill="auto"/>
            <w:noWrap/>
            <w:tcMar>
              <w:top w:w="12" w:type="dxa"/>
              <w:left w:w="12" w:type="dxa"/>
              <w:right w:w="12" w:type="dxa"/>
            </w:tcMar>
            <w:vAlign w:val="center"/>
          </w:tcPr>
          <w:p w14:paraId="2DF79496">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2.3 </w:t>
            </w:r>
          </w:p>
        </w:tc>
        <w:tc>
          <w:tcPr>
            <w:tcW w:w="9959" w:type="dxa"/>
            <w:shd w:val="clear" w:color="auto" w:fill="auto"/>
            <w:tcMar>
              <w:top w:w="12" w:type="dxa"/>
              <w:left w:w="12" w:type="dxa"/>
              <w:right w:w="12" w:type="dxa"/>
            </w:tcMar>
            <w:vAlign w:val="center"/>
          </w:tcPr>
          <w:p w14:paraId="22EEF04D">
            <w:pPr>
              <w:widowControl/>
              <w:spacing w:line="300" w:lineRule="exact"/>
              <w:jc w:val="left"/>
              <w:textAlignment w:val="center"/>
              <w:rPr>
                <w:rFonts w:ascii="宋体" w:hAnsi="宋体" w:eastAsia="宋体" w:cs="宋体"/>
                <w:kern w:val="0"/>
                <w:sz w:val="22"/>
              </w:rPr>
            </w:pPr>
            <w:r>
              <w:rPr>
                <w:rFonts w:hint="eastAsia" w:ascii="宋体" w:hAnsi="宋体" w:eastAsia="宋体" w:cs="宋体"/>
                <w:kern w:val="0"/>
                <w:sz w:val="22"/>
              </w:rPr>
              <w:t>企业未按照现行国家相关标准规范开展工程造价咨询活动和出具成果文件，给委托人造成重大业务质量事故或重大经济损失</w:t>
            </w:r>
          </w:p>
        </w:tc>
        <w:tc>
          <w:tcPr>
            <w:tcW w:w="1134" w:type="dxa"/>
            <w:shd w:val="clear" w:color="auto" w:fill="auto"/>
            <w:tcMar>
              <w:top w:w="12" w:type="dxa"/>
              <w:left w:w="12" w:type="dxa"/>
              <w:right w:w="12" w:type="dxa"/>
            </w:tcMar>
            <w:vAlign w:val="center"/>
          </w:tcPr>
          <w:p w14:paraId="3A90D581">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5</w:t>
            </w:r>
          </w:p>
        </w:tc>
        <w:tc>
          <w:tcPr>
            <w:tcW w:w="2350" w:type="dxa"/>
            <w:vMerge w:val="continue"/>
            <w:shd w:val="clear" w:color="auto" w:fill="auto"/>
            <w:tcMar>
              <w:top w:w="12" w:type="dxa"/>
              <w:left w:w="12" w:type="dxa"/>
              <w:right w:w="12" w:type="dxa"/>
            </w:tcMar>
            <w:vAlign w:val="center"/>
          </w:tcPr>
          <w:p w14:paraId="39517F90">
            <w:pPr>
              <w:widowControl/>
              <w:spacing w:line="300" w:lineRule="exact"/>
              <w:jc w:val="center"/>
              <w:rPr>
                <w:rFonts w:ascii="宋体" w:hAnsi="宋体" w:eastAsia="宋体" w:cs="宋体"/>
                <w:sz w:val="22"/>
              </w:rPr>
            </w:pPr>
          </w:p>
        </w:tc>
      </w:tr>
      <w:tr w14:paraId="299D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832" w:type="dxa"/>
            <w:shd w:val="clear" w:color="auto" w:fill="auto"/>
            <w:noWrap/>
            <w:tcMar>
              <w:top w:w="12" w:type="dxa"/>
              <w:left w:w="12" w:type="dxa"/>
              <w:right w:w="12" w:type="dxa"/>
            </w:tcMar>
            <w:vAlign w:val="center"/>
          </w:tcPr>
          <w:p w14:paraId="4FF78DDF">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2.4 </w:t>
            </w:r>
          </w:p>
        </w:tc>
        <w:tc>
          <w:tcPr>
            <w:tcW w:w="9959" w:type="dxa"/>
            <w:shd w:val="clear" w:color="auto" w:fill="auto"/>
            <w:tcMar>
              <w:top w:w="12" w:type="dxa"/>
              <w:left w:w="12" w:type="dxa"/>
              <w:right w:w="12" w:type="dxa"/>
            </w:tcMar>
            <w:vAlign w:val="center"/>
          </w:tcPr>
          <w:p w14:paraId="37E0574C">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企业在造价咨询活动中未按合同约定时间保质保量提交成果文件，并给委托方造成较大损失</w:t>
            </w:r>
          </w:p>
        </w:tc>
        <w:tc>
          <w:tcPr>
            <w:tcW w:w="1134" w:type="dxa"/>
            <w:shd w:val="clear" w:color="auto" w:fill="auto"/>
            <w:tcMar>
              <w:top w:w="12" w:type="dxa"/>
              <w:left w:w="12" w:type="dxa"/>
              <w:right w:w="12" w:type="dxa"/>
            </w:tcMar>
            <w:vAlign w:val="center"/>
          </w:tcPr>
          <w:p w14:paraId="1FBC8085">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5</w:t>
            </w:r>
          </w:p>
        </w:tc>
        <w:tc>
          <w:tcPr>
            <w:tcW w:w="2350" w:type="dxa"/>
            <w:vMerge w:val="continue"/>
            <w:shd w:val="clear" w:color="auto" w:fill="auto"/>
            <w:tcMar>
              <w:top w:w="12" w:type="dxa"/>
              <w:left w:w="12" w:type="dxa"/>
              <w:right w:w="12" w:type="dxa"/>
            </w:tcMar>
            <w:vAlign w:val="center"/>
          </w:tcPr>
          <w:p w14:paraId="4D047DD4">
            <w:pPr>
              <w:widowControl/>
              <w:spacing w:line="300" w:lineRule="exact"/>
              <w:jc w:val="center"/>
              <w:rPr>
                <w:rFonts w:ascii="宋体" w:hAnsi="宋体" w:eastAsia="宋体" w:cs="宋体"/>
                <w:sz w:val="22"/>
              </w:rPr>
            </w:pPr>
          </w:p>
        </w:tc>
      </w:tr>
      <w:tr w14:paraId="5678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shd w:val="clear" w:color="auto" w:fill="auto"/>
            <w:noWrap/>
            <w:tcMar>
              <w:top w:w="12" w:type="dxa"/>
              <w:left w:w="12" w:type="dxa"/>
              <w:right w:w="12" w:type="dxa"/>
            </w:tcMar>
            <w:vAlign w:val="center"/>
          </w:tcPr>
          <w:p w14:paraId="48FFF96D">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2.5 </w:t>
            </w:r>
          </w:p>
        </w:tc>
        <w:tc>
          <w:tcPr>
            <w:tcW w:w="9959" w:type="dxa"/>
            <w:shd w:val="clear" w:color="auto" w:fill="auto"/>
            <w:tcMar>
              <w:top w:w="12" w:type="dxa"/>
              <w:left w:w="12" w:type="dxa"/>
              <w:right w:w="12" w:type="dxa"/>
            </w:tcMar>
            <w:vAlign w:val="center"/>
          </w:tcPr>
          <w:p w14:paraId="04B29019">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企业相互串通投标或者与招标人串通投标的，投标人以向招标人或者评标委员会成员行贿的手段谋取中标</w:t>
            </w:r>
          </w:p>
        </w:tc>
        <w:tc>
          <w:tcPr>
            <w:tcW w:w="1134" w:type="dxa"/>
            <w:shd w:val="clear" w:color="auto" w:fill="auto"/>
            <w:tcMar>
              <w:top w:w="12" w:type="dxa"/>
              <w:left w:w="12" w:type="dxa"/>
              <w:right w:w="12" w:type="dxa"/>
            </w:tcMar>
            <w:vAlign w:val="center"/>
          </w:tcPr>
          <w:p w14:paraId="510C9450">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5</w:t>
            </w:r>
          </w:p>
        </w:tc>
        <w:tc>
          <w:tcPr>
            <w:tcW w:w="2350" w:type="dxa"/>
            <w:vMerge w:val="continue"/>
            <w:shd w:val="clear" w:color="auto" w:fill="auto"/>
            <w:tcMar>
              <w:top w:w="12" w:type="dxa"/>
              <w:left w:w="12" w:type="dxa"/>
              <w:right w:w="12" w:type="dxa"/>
            </w:tcMar>
            <w:vAlign w:val="center"/>
          </w:tcPr>
          <w:p w14:paraId="230075BD">
            <w:pPr>
              <w:widowControl/>
              <w:spacing w:line="300" w:lineRule="exact"/>
              <w:jc w:val="center"/>
              <w:rPr>
                <w:rFonts w:ascii="宋体" w:hAnsi="宋体" w:eastAsia="宋体" w:cs="宋体"/>
                <w:sz w:val="22"/>
              </w:rPr>
            </w:pPr>
          </w:p>
        </w:tc>
      </w:tr>
      <w:tr w14:paraId="73B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32" w:type="dxa"/>
            <w:shd w:val="clear" w:color="auto" w:fill="auto"/>
            <w:noWrap/>
            <w:tcMar>
              <w:top w:w="12" w:type="dxa"/>
              <w:left w:w="12" w:type="dxa"/>
              <w:right w:w="12" w:type="dxa"/>
            </w:tcMar>
            <w:vAlign w:val="center"/>
          </w:tcPr>
          <w:p w14:paraId="32CE1D18">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2.6 </w:t>
            </w:r>
          </w:p>
        </w:tc>
        <w:tc>
          <w:tcPr>
            <w:tcW w:w="9959" w:type="dxa"/>
            <w:shd w:val="clear" w:color="auto" w:fill="auto"/>
            <w:tcMar>
              <w:top w:w="12" w:type="dxa"/>
              <w:left w:w="12" w:type="dxa"/>
              <w:right w:w="12" w:type="dxa"/>
            </w:tcMar>
            <w:vAlign w:val="center"/>
          </w:tcPr>
          <w:p w14:paraId="3FDDFB1C">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企业采用给予回扣、低于成本恶意压低服务价格等不正当竞争方式承接业务</w:t>
            </w:r>
          </w:p>
        </w:tc>
        <w:tc>
          <w:tcPr>
            <w:tcW w:w="1134" w:type="dxa"/>
            <w:shd w:val="clear" w:color="auto" w:fill="auto"/>
            <w:tcMar>
              <w:top w:w="12" w:type="dxa"/>
              <w:left w:w="12" w:type="dxa"/>
              <w:right w:w="12" w:type="dxa"/>
            </w:tcMar>
            <w:vAlign w:val="center"/>
          </w:tcPr>
          <w:p w14:paraId="40494C79">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5</w:t>
            </w:r>
          </w:p>
        </w:tc>
        <w:tc>
          <w:tcPr>
            <w:tcW w:w="2350" w:type="dxa"/>
            <w:vMerge w:val="continue"/>
            <w:shd w:val="clear" w:color="auto" w:fill="auto"/>
            <w:tcMar>
              <w:top w:w="12" w:type="dxa"/>
              <w:left w:w="12" w:type="dxa"/>
              <w:right w:w="12" w:type="dxa"/>
            </w:tcMar>
            <w:vAlign w:val="center"/>
          </w:tcPr>
          <w:p w14:paraId="5D99ECED">
            <w:pPr>
              <w:widowControl/>
              <w:spacing w:line="300" w:lineRule="exact"/>
              <w:jc w:val="center"/>
              <w:rPr>
                <w:rFonts w:ascii="宋体" w:hAnsi="宋体" w:eastAsia="宋体" w:cs="宋体"/>
                <w:sz w:val="22"/>
              </w:rPr>
            </w:pPr>
          </w:p>
        </w:tc>
      </w:tr>
      <w:tr w14:paraId="6C7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832" w:type="dxa"/>
            <w:shd w:val="clear" w:color="auto" w:fill="auto"/>
            <w:noWrap/>
            <w:tcMar>
              <w:top w:w="12" w:type="dxa"/>
              <w:left w:w="12" w:type="dxa"/>
              <w:right w:w="12" w:type="dxa"/>
            </w:tcMar>
            <w:vAlign w:val="center"/>
          </w:tcPr>
          <w:p w14:paraId="1E2D3ACB">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2.7</w:t>
            </w:r>
          </w:p>
        </w:tc>
        <w:tc>
          <w:tcPr>
            <w:tcW w:w="9959" w:type="dxa"/>
            <w:shd w:val="clear" w:color="auto" w:fill="auto"/>
            <w:tcMar>
              <w:top w:w="12" w:type="dxa"/>
              <w:left w:w="12" w:type="dxa"/>
              <w:right w:w="12" w:type="dxa"/>
            </w:tcMar>
            <w:vAlign w:val="center"/>
          </w:tcPr>
          <w:p w14:paraId="5F259C25">
            <w:pPr>
              <w:widowControl/>
              <w:spacing w:line="300" w:lineRule="exact"/>
              <w:jc w:val="left"/>
              <w:textAlignment w:val="center"/>
              <w:rPr>
                <w:rFonts w:ascii="宋体" w:hAnsi="宋体" w:eastAsia="宋体" w:cs="宋体"/>
                <w:kern w:val="0"/>
                <w:sz w:val="22"/>
              </w:rPr>
            </w:pPr>
            <w:r>
              <w:rPr>
                <w:rFonts w:hint="eastAsia" w:ascii="宋体" w:hAnsi="宋体" w:eastAsia="宋体" w:cs="宋体"/>
                <w:kern w:val="0"/>
                <w:sz w:val="22"/>
              </w:rPr>
              <w:t>企业与委托方对同一工程签订两份或两份以上内容有重大差异或咨询收费标准不同的合同；与当事人签订的工程造价咨询合同存在欺骗性条款</w:t>
            </w:r>
          </w:p>
        </w:tc>
        <w:tc>
          <w:tcPr>
            <w:tcW w:w="1134" w:type="dxa"/>
            <w:shd w:val="clear" w:color="auto" w:fill="auto"/>
            <w:tcMar>
              <w:top w:w="12" w:type="dxa"/>
              <w:left w:w="12" w:type="dxa"/>
              <w:right w:w="12" w:type="dxa"/>
            </w:tcMar>
            <w:vAlign w:val="center"/>
          </w:tcPr>
          <w:p w14:paraId="762A4F5D">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5</w:t>
            </w:r>
          </w:p>
        </w:tc>
        <w:tc>
          <w:tcPr>
            <w:tcW w:w="2350" w:type="dxa"/>
            <w:vMerge w:val="continue"/>
            <w:shd w:val="clear" w:color="auto" w:fill="auto"/>
            <w:tcMar>
              <w:top w:w="12" w:type="dxa"/>
              <w:left w:w="12" w:type="dxa"/>
              <w:right w:w="12" w:type="dxa"/>
            </w:tcMar>
            <w:vAlign w:val="center"/>
          </w:tcPr>
          <w:p w14:paraId="3A5F852F">
            <w:pPr>
              <w:widowControl/>
              <w:spacing w:line="300" w:lineRule="exact"/>
              <w:jc w:val="center"/>
              <w:rPr>
                <w:rFonts w:ascii="宋体" w:hAnsi="宋体" w:eastAsia="宋体" w:cs="宋体"/>
                <w:sz w:val="22"/>
              </w:rPr>
            </w:pPr>
          </w:p>
        </w:tc>
      </w:tr>
      <w:tr w14:paraId="7613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832" w:type="dxa"/>
            <w:shd w:val="clear" w:color="auto" w:fill="auto"/>
            <w:noWrap/>
            <w:tcMar>
              <w:top w:w="12" w:type="dxa"/>
              <w:left w:w="12" w:type="dxa"/>
              <w:right w:w="12" w:type="dxa"/>
            </w:tcMar>
            <w:vAlign w:val="center"/>
          </w:tcPr>
          <w:p w14:paraId="4FFADA20">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2.8</w:t>
            </w:r>
          </w:p>
        </w:tc>
        <w:tc>
          <w:tcPr>
            <w:tcW w:w="9959" w:type="dxa"/>
            <w:shd w:val="clear" w:color="auto" w:fill="auto"/>
            <w:tcMar>
              <w:top w:w="12" w:type="dxa"/>
              <w:left w:w="12" w:type="dxa"/>
              <w:right w:w="12" w:type="dxa"/>
            </w:tcMar>
            <w:vAlign w:val="center"/>
          </w:tcPr>
          <w:p w14:paraId="1C8E1B9A">
            <w:pPr>
              <w:widowControl/>
              <w:spacing w:line="300" w:lineRule="exact"/>
              <w:jc w:val="left"/>
              <w:textAlignment w:val="center"/>
              <w:rPr>
                <w:rFonts w:ascii="宋体" w:hAnsi="宋体" w:eastAsia="宋体" w:cs="宋体"/>
                <w:kern w:val="0"/>
                <w:sz w:val="22"/>
              </w:rPr>
            </w:pPr>
            <w:r>
              <w:rPr>
                <w:rFonts w:hint="eastAsia" w:ascii="宋体" w:hAnsi="宋体" w:eastAsia="宋体" w:cs="宋体"/>
                <w:kern w:val="0"/>
                <w:sz w:val="22"/>
              </w:rPr>
              <w:t>企业在工程造价咨询活动中，工程造价咨询合同约定的执业人员与实际执业人员、成果文件签章人员不一致，且未经委托人同意</w:t>
            </w:r>
          </w:p>
        </w:tc>
        <w:tc>
          <w:tcPr>
            <w:tcW w:w="1134" w:type="dxa"/>
            <w:shd w:val="clear" w:color="auto" w:fill="auto"/>
            <w:tcMar>
              <w:top w:w="12" w:type="dxa"/>
              <w:left w:w="12" w:type="dxa"/>
              <w:right w:w="12" w:type="dxa"/>
            </w:tcMar>
            <w:vAlign w:val="center"/>
          </w:tcPr>
          <w:p w14:paraId="2EF98CE2">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4</w:t>
            </w:r>
          </w:p>
        </w:tc>
        <w:tc>
          <w:tcPr>
            <w:tcW w:w="2350" w:type="dxa"/>
            <w:vMerge w:val="continue"/>
            <w:shd w:val="clear" w:color="auto" w:fill="auto"/>
            <w:tcMar>
              <w:top w:w="12" w:type="dxa"/>
              <w:left w:w="12" w:type="dxa"/>
              <w:right w:w="12" w:type="dxa"/>
            </w:tcMar>
            <w:vAlign w:val="center"/>
          </w:tcPr>
          <w:p w14:paraId="36858FDD">
            <w:pPr>
              <w:widowControl/>
              <w:spacing w:line="300" w:lineRule="exact"/>
              <w:jc w:val="center"/>
              <w:textAlignment w:val="center"/>
              <w:rPr>
                <w:rFonts w:ascii="宋体" w:hAnsi="宋体" w:eastAsia="宋体" w:cs="宋体"/>
                <w:sz w:val="22"/>
              </w:rPr>
            </w:pPr>
          </w:p>
        </w:tc>
      </w:tr>
      <w:tr w14:paraId="03A3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832" w:type="dxa"/>
            <w:shd w:val="clear" w:color="auto" w:fill="auto"/>
            <w:noWrap/>
            <w:tcMar>
              <w:top w:w="12" w:type="dxa"/>
              <w:left w:w="12" w:type="dxa"/>
              <w:right w:w="12" w:type="dxa"/>
            </w:tcMar>
            <w:vAlign w:val="center"/>
          </w:tcPr>
          <w:p w14:paraId="6BC1FE7A">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2.9 </w:t>
            </w:r>
          </w:p>
        </w:tc>
        <w:tc>
          <w:tcPr>
            <w:tcW w:w="9959" w:type="dxa"/>
            <w:shd w:val="clear" w:color="auto" w:fill="auto"/>
            <w:tcMar>
              <w:top w:w="12" w:type="dxa"/>
              <w:left w:w="12" w:type="dxa"/>
              <w:right w:w="12" w:type="dxa"/>
            </w:tcMar>
            <w:vAlign w:val="center"/>
          </w:tcPr>
          <w:p w14:paraId="35682FDA">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企业在工程造价咨询活动中，出具有虚假记载、误导性陈述的工程造价成果文件</w:t>
            </w:r>
          </w:p>
        </w:tc>
        <w:tc>
          <w:tcPr>
            <w:tcW w:w="1134" w:type="dxa"/>
            <w:shd w:val="clear" w:color="auto" w:fill="auto"/>
            <w:tcMar>
              <w:top w:w="12" w:type="dxa"/>
              <w:left w:w="12" w:type="dxa"/>
              <w:right w:w="12" w:type="dxa"/>
            </w:tcMar>
            <w:vAlign w:val="center"/>
          </w:tcPr>
          <w:p w14:paraId="09712003">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4</w:t>
            </w:r>
          </w:p>
        </w:tc>
        <w:tc>
          <w:tcPr>
            <w:tcW w:w="2350" w:type="dxa"/>
            <w:vMerge w:val="continue"/>
            <w:shd w:val="clear" w:color="auto" w:fill="auto"/>
            <w:tcMar>
              <w:top w:w="12" w:type="dxa"/>
              <w:left w:w="12" w:type="dxa"/>
              <w:right w:w="12" w:type="dxa"/>
            </w:tcMar>
            <w:vAlign w:val="center"/>
          </w:tcPr>
          <w:p w14:paraId="78A811C2">
            <w:pPr>
              <w:widowControl/>
              <w:spacing w:line="300" w:lineRule="exact"/>
              <w:jc w:val="center"/>
              <w:textAlignment w:val="center"/>
              <w:rPr>
                <w:rFonts w:ascii="宋体" w:hAnsi="宋体" w:eastAsia="宋体" w:cs="宋体"/>
                <w:sz w:val="22"/>
              </w:rPr>
            </w:pPr>
          </w:p>
        </w:tc>
      </w:tr>
      <w:tr w14:paraId="577F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832" w:type="dxa"/>
            <w:shd w:val="clear" w:color="auto" w:fill="auto"/>
            <w:noWrap/>
            <w:tcMar>
              <w:top w:w="12" w:type="dxa"/>
              <w:left w:w="12" w:type="dxa"/>
              <w:right w:w="12" w:type="dxa"/>
            </w:tcMar>
            <w:vAlign w:val="center"/>
          </w:tcPr>
          <w:p w14:paraId="40B3F335">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2.10</w:t>
            </w:r>
          </w:p>
        </w:tc>
        <w:tc>
          <w:tcPr>
            <w:tcW w:w="9959" w:type="dxa"/>
            <w:shd w:val="clear" w:color="auto" w:fill="auto"/>
            <w:tcMar>
              <w:top w:w="12" w:type="dxa"/>
              <w:left w:w="12" w:type="dxa"/>
              <w:right w:w="12" w:type="dxa"/>
            </w:tcMar>
            <w:vAlign w:val="center"/>
          </w:tcPr>
          <w:p w14:paraId="2ECA57B9">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企业泄露、窃取委托方及业务实施中相关方的商业秘密、技术秘密和业务资料</w:t>
            </w:r>
          </w:p>
        </w:tc>
        <w:tc>
          <w:tcPr>
            <w:tcW w:w="1134" w:type="dxa"/>
            <w:shd w:val="clear" w:color="auto" w:fill="auto"/>
            <w:tcMar>
              <w:top w:w="12" w:type="dxa"/>
              <w:left w:w="12" w:type="dxa"/>
              <w:right w:w="12" w:type="dxa"/>
            </w:tcMar>
            <w:vAlign w:val="center"/>
          </w:tcPr>
          <w:p w14:paraId="66FBA294">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4</w:t>
            </w:r>
          </w:p>
        </w:tc>
        <w:tc>
          <w:tcPr>
            <w:tcW w:w="2350" w:type="dxa"/>
            <w:vMerge w:val="continue"/>
            <w:shd w:val="clear" w:color="auto" w:fill="auto"/>
            <w:tcMar>
              <w:top w:w="12" w:type="dxa"/>
              <w:left w:w="12" w:type="dxa"/>
              <w:right w:w="12" w:type="dxa"/>
            </w:tcMar>
            <w:vAlign w:val="center"/>
          </w:tcPr>
          <w:p w14:paraId="4869D71F">
            <w:pPr>
              <w:widowControl/>
              <w:spacing w:line="300" w:lineRule="exact"/>
              <w:jc w:val="center"/>
              <w:textAlignment w:val="center"/>
              <w:rPr>
                <w:rFonts w:ascii="宋体" w:hAnsi="宋体" w:eastAsia="宋体" w:cs="宋体"/>
                <w:sz w:val="22"/>
              </w:rPr>
            </w:pPr>
          </w:p>
        </w:tc>
      </w:tr>
      <w:tr w14:paraId="619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832" w:type="dxa"/>
            <w:shd w:val="clear" w:color="auto" w:fill="auto"/>
            <w:noWrap/>
            <w:tcMar>
              <w:top w:w="12" w:type="dxa"/>
              <w:left w:w="12" w:type="dxa"/>
              <w:right w:w="12" w:type="dxa"/>
            </w:tcMar>
            <w:vAlign w:val="center"/>
          </w:tcPr>
          <w:p w14:paraId="180CE0BB">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2.11</w:t>
            </w:r>
          </w:p>
        </w:tc>
        <w:tc>
          <w:tcPr>
            <w:tcW w:w="9959" w:type="dxa"/>
            <w:shd w:val="clear" w:color="auto" w:fill="auto"/>
            <w:tcMar>
              <w:top w:w="12" w:type="dxa"/>
              <w:left w:w="12" w:type="dxa"/>
              <w:right w:w="12" w:type="dxa"/>
            </w:tcMar>
            <w:vAlign w:val="center"/>
          </w:tcPr>
          <w:p w14:paraId="1A903766">
            <w:pPr>
              <w:widowControl/>
              <w:spacing w:line="300" w:lineRule="exact"/>
              <w:jc w:val="left"/>
              <w:textAlignment w:val="center"/>
              <w:rPr>
                <w:rFonts w:ascii="宋体" w:hAnsi="宋体" w:eastAsia="宋体" w:cs="宋体"/>
                <w:kern w:val="0"/>
                <w:sz w:val="22"/>
              </w:rPr>
            </w:pPr>
            <w:r>
              <w:rPr>
                <w:rFonts w:hint="eastAsia" w:ascii="宋体" w:hAnsi="宋体" w:eastAsia="宋体" w:cs="宋体"/>
                <w:kern w:val="0"/>
                <w:sz w:val="22"/>
              </w:rPr>
              <w:t>企业抄袭、盗用其他单位的成果文件</w:t>
            </w:r>
          </w:p>
        </w:tc>
        <w:tc>
          <w:tcPr>
            <w:tcW w:w="1134" w:type="dxa"/>
            <w:shd w:val="clear" w:color="auto" w:fill="auto"/>
            <w:tcMar>
              <w:top w:w="12" w:type="dxa"/>
              <w:left w:w="12" w:type="dxa"/>
              <w:right w:w="12" w:type="dxa"/>
            </w:tcMar>
            <w:vAlign w:val="center"/>
          </w:tcPr>
          <w:p w14:paraId="072E7451">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4</w:t>
            </w:r>
          </w:p>
        </w:tc>
        <w:tc>
          <w:tcPr>
            <w:tcW w:w="2350" w:type="dxa"/>
            <w:vMerge w:val="continue"/>
            <w:shd w:val="clear" w:color="auto" w:fill="auto"/>
            <w:tcMar>
              <w:top w:w="12" w:type="dxa"/>
              <w:left w:w="12" w:type="dxa"/>
              <w:right w:w="12" w:type="dxa"/>
            </w:tcMar>
            <w:vAlign w:val="center"/>
          </w:tcPr>
          <w:p w14:paraId="4AFBBD98">
            <w:pPr>
              <w:widowControl/>
              <w:spacing w:line="300" w:lineRule="exact"/>
              <w:jc w:val="center"/>
              <w:rPr>
                <w:rFonts w:ascii="宋体" w:hAnsi="宋体" w:eastAsia="宋体" w:cs="宋体"/>
                <w:sz w:val="22"/>
              </w:rPr>
            </w:pPr>
          </w:p>
        </w:tc>
      </w:tr>
      <w:tr w14:paraId="36DD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832" w:type="dxa"/>
            <w:shd w:val="clear" w:color="auto" w:fill="auto"/>
            <w:noWrap/>
            <w:tcMar>
              <w:top w:w="12" w:type="dxa"/>
              <w:left w:w="12" w:type="dxa"/>
              <w:right w:w="12" w:type="dxa"/>
            </w:tcMar>
            <w:vAlign w:val="center"/>
          </w:tcPr>
          <w:p w14:paraId="4CEFE8B7">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2.12</w:t>
            </w:r>
          </w:p>
        </w:tc>
        <w:tc>
          <w:tcPr>
            <w:tcW w:w="9959" w:type="dxa"/>
            <w:shd w:val="clear" w:color="auto" w:fill="auto"/>
            <w:tcMar>
              <w:top w:w="12" w:type="dxa"/>
              <w:left w:w="12" w:type="dxa"/>
              <w:right w:w="12" w:type="dxa"/>
            </w:tcMar>
            <w:vAlign w:val="center"/>
          </w:tcPr>
          <w:p w14:paraId="04D821D8">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企业在工程造价咨询合同约定以外直接或间接索取或收受馈赠、贿赂等现金和其他财物</w:t>
            </w:r>
          </w:p>
        </w:tc>
        <w:tc>
          <w:tcPr>
            <w:tcW w:w="1134" w:type="dxa"/>
            <w:shd w:val="clear" w:color="auto" w:fill="auto"/>
            <w:tcMar>
              <w:top w:w="12" w:type="dxa"/>
              <w:left w:w="12" w:type="dxa"/>
              <w:right w:w="12" w:type="dxa"/>
            </w:tcMar>
            <w:vAlign w:val="center"/>
          </w:tcPr>
          <w:p w14:paraId="432980F6">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4</w:t>
            </w:r>
          </w:p>
        </w:tc>
        <w:tc>
          <w:tcPr>
            <w:tcW w:w="2350" w:type="dxa"/>
            <w:vMerge w:val="continue"/>
            <w:shd w:val="clear" w:color="auto" w:fill="auto"/>
            <w:tcMar>
              <w:top w:w="12" w:type="dxa"/>
              <w:left w:w="12" w:type="dxa"/>
              <w:right w:w="12" w:type="dxa"/>
            </w:tcMar>
            <w:vAlign w:val="center"/>
          </w:tcPr>
          <w:p w14:paraId="36A8B653">
            <w:pPr>
              <w:widowControl/>
              <w:spacing w:line="300" w:lineRule="exact"/>
              <w:jc w:val="center"/>
              <w:rPr>
                <w:rFonts w:ascii="宋体" w:hAnsi="宋体" w:eastAsia="宋体" w:cs="宋体"/>
                <w:sz w:val="22"/>
              </w:rPr>
            </w:pPr>
          </w:p>
        </w:tc>
      </w:tr>
      <w:tr w14:paraId="1320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832" w:type="dxa"/>
            <w:shd w:val="clear" w:color="auto" w:fill="auto"/>
            <w:noWrap/>
            <w:tcMar>
              <w:top w:w="12" w:type="dxa"/>
              <w:left w:w="12" w:type="dxa"/>
              <w:right w:w="12" w:type="dxa"/>
            </w:tcMar>
            <w:vAlign w:val="center"/>
          </w:tcPr>
          <w:p w14:paraId="630F6EFC">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2.13</w:t>
            </w:r>
          </w:p>
        </w:tc>
        <w:tc>
          <w:tcPr>
            <w:tcW w:w="9959" w:type="dxa"/>
            <w:shd w:val="clear" w:color="auto" w:fill="auto"/>
            <w:tcMar>
              <w:top w:w="12" w:type="dxa"/>
              <w:left w:w="12" w:type="dxa"/>
              <w:right w:w="12" w:type="dxa"/>
            </w:tcMar>
            <w:vAlign w:val="center"/>
          </w:tcPr>
          <w:p w14:paraId="4B01BFBE">
            <w:pPr>
              <w:widowControl/>
              <w:spacing w:line="300" w:lineRule="exact"/>
              <w:jc w:val="left"/>
              <w:textAlignment w:val="center"/>
              <w:rPr>
                <w:rFonts w:ascii="宋体" w:hAnsi="宋体" w:eastAsia="宋体" w:cs="宋体"/>
                <w:kern w:val="0"/>
                <w:sz w:val="22"/>
              </w:rPr>
            </w:pPr>
            <w:r>
              <w:rPr>
                <w:rFonts w:hint="eastAsia" w:ascii="宋体" w:hAnsi="宋体" w:eastAsia="宋体" w:cs="宋体"/>
                <w:kern w:val="0"/>
                <w:sz w:val="22"/>
              </w:rPr>
              <w:t>企业采用不正当手段诋毁、排挤其他工程造价咨询企业，损害客户和相关各方的合法利益</w:t>
            </w:r>
          </w:p>
        </w:tc>
        <w:tc>
          <w:tcPr>
            <w:tcW w:w="1134" w:type="dxa"/>
            <w:shd w:val="clear" w:color="auto" w:fill="auto"/>
            <w:tcMar>
              <w:top w:w="12" w:type="dxa"/>
              <w:left w:w="12" w:type="dxa"/>
              <w:right w:w="12" w:type="dxa"/>
            </w:tcMar>
            <w:vAlign w:val="center"/>
          </w:tcPr>
          <w:p w14:paraId="199D45EA">
            <w:pPr>
              <w:widowControl/>
              <w:spacing w:line="300" w:lineRule="exact"/>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2350" w:type="dxa"/>
            <w:vMerge w:val="continue"/>
            <w:shd w:val="clear" w:color="auto" w:fill="auto"/>
            <w:tcMar>
              <w:top w:w="12" w:type="dxa"/>
              <w:left w:w="12" w:type="dxa"/>
              <w:right w:w="12" w:type="dxa"/>
            </w:tcMar>
            <w:vAlign w:val="center"/>
          </w:tcPr>
          <w:p w14:paraId="10A043D0">
            <w:pPr>
              <w:widowControl/>
              <w:spacing w:line="300" w:lineRule="exact"/>
              <w:jc w:val="center"/>
              <w:rPr>
                <w:rFonts w:ascii="宋体" w:hAnsi="宋体" w:eastAsia="宋体" w:cs="宋体"/>
                <w:sz w:val="22"/>
              </w:rPr>
            </w:pPr>
          </w:p>
        </w:tc>
      </w:tr>
      <w:tr w14:paraId="2CF8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832" w:type="dxa"/>
            <w:shd w:val="clear" w:color="auto" w:fill="auto"/>
            <w:noWrap/>
            <w:tcMar>
              <w:top w:w="12" w:type="dxa"/>
              <w:left w:w="12" w:type="dxa"/>
              <w:right w:w="12" w:type="dxa"/>
            </w:tcMar>
            <w:vAlign w:val="center"/>
          </w:tcPr>
          <w:p w14:paraId="631CBB5F">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2.14 </w:t>
            </w:r>
          </w:p>
        </w:tc>
        <w:tc>
          <w:tcPr>
            <w:tcW w:w="9959" w:type="dxa"/>
            <w:shd w:val="clear" w:color="auto" w:fill="auto"/>
            <w:tcMar>
              <w:top w:w="12" w:type="dxa"/>
              <w:left w:w="12" w:type="dxa"/>
              <w:right w:w="12" w:type="dxa"/>
            </w:tcMar>
            <w:vAlign w:val="center"/>
          </w:tcPr>
          <w:p w14:paraId="250ECB3F">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企业非法用工被投诉查实；企业无故扣押已解除劳动合同关系员工的相关证件，阻碍员工正常流动；企业拖欠员工工资和社保；企业职业人员存在挂靠行为</w:t>
            </w:r>
          </w:p>
        </w:tc>
        <w:tc>
          <w:tcPr>
            <w:tcW w:w="1134" w:type="dxa"/>
            <w:shd w:val="clear" w:color="auto" w:fill="auto"/>
            <w:tcMar>
              <w:top w:w="12" w:type="dxa"/>
              <w:left w:w="12" w:type="dxa"/>
              <w:right w:w="12" w:type="dxa"/>
            </w:tcMar>
            <w:vAlign w:val="center"/>
          </w:tcPr>
          <w:p w14:paraId="560E0BF7">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3</w:t>
            </w:r>
          </w:p>
        </w:tc>
        <w:tc>
          <w:tcPr>
            <w:tcW w:w="2350" w:type="dxa"/>
            <w:vMerge w:val="continue"/>
            <w:shd w:val="clear" w:color="auto" w:fill="auto"/>
            <w:tcMar>
              <w:top w:w="12" w:type="dxa"/>
              <w:left w:w="12" w:type="dxa"/>
              <w:right w:w="12" w:type="dxa"/>
            </w:tcMar>
            <w:vAlign w:val="center"/>
          </w:tcPr>
          <w:p w14:paraId="2D75F50E">
            <w:pPr>
              <w:widowControl/>
              <w:spacing w:line="300" w:lineRule="exact"/>
              <w:jc w:val="center"/>
              <w:rPr>
                <w:rFonts w:ascii="宋体" w:hAnsi="宋体" w:eastAsia="宋体" w:cs="宋体"/>
                <w:sz w:val="22"/>
              </w:rPr>
            </w:pPr>
          </w:p>
        </w:tc>
      </w:tr>
      <w:tr w14:paraId="6FB5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832" w:type="dxa"/>
            <w:shd w:val="clear" w:color="auto" w:fill="auto"/>
            <w:noWrap/>
            <w:tcMar>
              <w:top w:w="12" w:type="dxa"/>
              <w:left w:w="12" w:type="dxa"/>
              <w:right w:w="12" w:type="dxa"/>
            </w:tcMar>
            <w:vAlign w:val="center"/>
          </w:tcPr>
          <w:p w14:paraId="253DA119">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 xml:space="preserve">2.15 </w:t>
            </w:r>
          </w:p>
        </w:tc>
        <w:tc>
          <w:tcPr>
            <w:tcW w:w="9959" w:type="dxa"/>
            <w:shd w:val="clear" w:color="auto" w:fill="auto"/>
            <w:tcMar>
              <w:top w:w="12" w:type="dxa"/>
              <w:left w:w="12" w:type="dxa"/>
              <w:right w:w="12" w:type="dxa"/>
            </w:tcMar>
            <w:vAlign w:val="center"/>
          </w:tcPr>
          <w:p w14:paraId="057E0207">
            <w:pPr>
              <w:widowControl/>
              <w:spacing w:line="300" w:lineRule="exact"/>
              <w:jc w:val="left"/>
              <w:textAlignment w:val="center"/>
              <w:rPr>
                <w:rFonts w:ascii="宋体" w:hAnsi="宋体" w:eastAsia="宋体" w:cs="宋体"/>
                <w:sz w:val="22"/>
              </w:rPr>
            </w:pPr>
            <w:r>
              <w:rPr>
                <w:rFonts w:hint="eastAsia" w:ascii="宋体" w:hAnsi="宋体" w:eastAsia="宋体" w:cs="宋体"/>
                <w:kern w:val="0"/>
                <w:sz w:val="22"/>
              </w:rPr>
              <w:t>企业在“信用中国”等权威信用机构有不良信用记录</w:t>
            </w:r>
          </w:p>
        </w:tc>
        <w:tc>
          <w:tcPr>
            <w:tcW w:w="1134" w:type="dxa"/>
            <w:shd w:val="clear" w:color="auto" w:fill="auto"/>
            <w:tcMar>
              <w:top w:w="12" w:type="dxa"/>
              <w:left w:w="12" w:type="dxa"/>
              <w:right w:w="12" w:type="dxa"/>
            </w:tcMar>
            <w:vAlign w:val="center"/>
          </w:tcPr>
          <w:p w14:paraId="5A88C7AE">
            <w:pPr>
              <w:widowControl/>
              <w:spacing w:line="300" w:lineRule="exact"/>
              <w:jc w:val="center"/>
              <w:textAlignment w:val="center"/>
              <w:rPr>
                <w:rFonts w:ascii="宋体" w:hAnsi="宋体" w:eastAsia="宋体" w:cs="宋体"/>
                <w:sz w:val="22"/>
              </w:rPr>
            </w:pPr>
            <w:r>
              <w:rPr>
                <w:rFonts w:hint="eastAsia" w:ascii="宋体" w:hAnsi="宋体" w:eastAsia="宋体" w:cs="宋体"/>
                <w:kern w:val="0"/>
                <w:sz w:val="22"/>
              </w:rPr>
              <w:t>3</w:t>
            </w:r>
          </w:p>
        </w:tc>
        <w:tc>
          <w:tcPr>
            <w:tcW w:w="2350" w:type="dxa"/>
            <w:vMerge w:val="continue"/>
            <w:shd w:val="clear" w:color="auto" w:fill="auto"/>
            <w:tcMar>
              <w:top w:w="12" w:type="dxa"/>
              <w:left w:w="12" w:type="dxa"/>
              <w:right w:w="12" w:type="dxa"/>
            </w:tcMar>
            <w:vAlign w:val="center"/>
          </w:tcPr>
          <w:p w14:paraId="09D48EDD">
            <w:pPr>
              <w:widowControl/>
              <w:spacing w:line="300" w:lineRule="exact"/>
              <w:jc w:val="center"/>
              <w:rPr>
                <w:rFonts w:ascii="宋体" w:hAnsi="宋体" w:eastAsia="宋体" w:cs="宋体"/>
                <w:sz w:val="22"/>
              </w:rPr>
            </w:pPr>
          </w:p>
        </w:tc>
      </w:tr>
    </w:tbl>
    <w:p w14:paraId="410089B4">
      <w:pPr>
        <w:widowControl/>
        <w:spacing w:line="380" w:lineRule="exact"/>
        <w:ind w:left="-202" w:leftChars="-96" w:firstLine="440" w:firstLineChars="200"/>
        <w:jc w:val="left"/>
        <w:textAlignment w:val="center"/>
        <w:rPr>
          <w:rFonts w:ascii="宋体" w:hAnsi="宋体" w:eastAsia="宋体" w:cs="宋体"/>
          <w:kern w:val="0"/>
          <w:sz w:val="22"/>
        </w:rPr>
      </w:pPr>
      <w:r>
        <w:rPr>
          <w:rFonts w:hint="eastAsia" w:ascii="宋体" w:hAnsi="宋体" w:eastAsia="宋体" w:cs="宋体"/>
          <w:kern w:val="0"/>
          <w:sz w:val="22"/>
        </w:rPr>
        <w:t>注：1. 同一事项被不同部门处罚或通报，按最高扣分计扣一次；</w:t>
      </w:r>
    </w:p>
    <w:p w14:paraId="61E453B0">
      <w:pPr>
        <w:widowControl/>
        <w:spacing w:line="380" w:lineRule="exact"/>
        <w:ind w:firstLine="660" w:firstLineChars="300"/>
        <w:jc w:val="left"/>
        <w:textAlignment w:val="center"/>
        <w:rPr>
          <w:rFonts w:ascii="仿宋_GB2312" w:hAnsi="仿宋_GB2312" w:eastAsia="仿宋_GB2312" w:cs="仿宋_GB2312"/>
          <w:sz w:val="22"/>
        </w:rPr>
      </w:pPr>
      <w:r>
        <w:rPr>
          <w:rFonts w:hint="eastAsia" w:ascii="宋体" w:hAnsi="宋体" w:eastAsia="宋体" w:cs="宋体"/>
          <w:kern w:val="0"/>
          <w:sz w:val="22"/>
        </w:rPr>
        <w:t>2. 本表“不良行为”内容和扣分，适用企业（法人），也适用企业的分支机构。</w:t>
      </w:r>
      <w:r>
        <w:rPr>
          <w:rFonts w:hint="eastAsia" w:ascii="宋体" w:hAnsi="宋体" w:eastAsia="宋体" w:cs="宋体"/>
          <w:kern w:val="0"/>
          <w:sz w:val="22"/>
        </w:rPr>
        <w:tab/>
      </w: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01FA">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07CA12A">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B0C3D"/>
    <w:rsid w:val="000036DB"/>
    <w:rsid w:val="000037A8"/>
    <w:rsid w:val="00006CFD"/>
    <w:rsid w:val="000072FB"/>
    <w:rsid w:val="0001436B"/>
    <w:rsid w:val="00016E9F"/>
    <w:rsid w:val="00020D77"/>
    <w:rsid w:val="00021A4B"/>
    <w:rsid w:val="0003277C"/>
    <w:rsid w:val="00032E9D"/>
    <w:rsid w:val="00035CA1"/>
    <w:rsid w:val="00035F7D"/>
    <w:rsid w:val="0003635B"/>
    <w:rsid w:val="00045F5F"/>
    <w:rsid w:val="00047E03"/>
    <w:rsid w:val="000513E2"/>
    <w:rsid w:val="0005482A"/>
    <w:rsid w:val="000608FA"/>
    <w:rsid w:val="00066FB1"/>
    <w:rsid w:val="000704C2"/>
    <w:rsid w:val="00076AFF"/>
    <w:rsid w:val="000818BA"/>
    <w:rsid w:val="000A3128"/>
    <w:rsid w:val="000A386C"/>
    <w:rsid w:val="000A6261"/>
    <w:rsid w:val="000B0C3D"/>
    <w:rsid w:val="000B44B8"/>
    <w:rsid w:val="000B52AF"/>
    <w:rsid w:val="000B6F0D"/>
    <w:rsid w:val="000C6E14"/>
    <w:rsid w:val="000D0CA2"/>
    <w:rsid w:val="000D1B55"/>
    <w:rsid w:val="000D2839"/>
    <w:rsid w:val="000D3EE6"/>
    <w:rsid w:val="000E1A66"/>
    <w:rsid w:val="000E46C0"/>
    <w:rsid w:val="000E4C24"/>
    <w:rsid w:val="000E79A7"/>
    <w:rsid w:val="000F2E71"/>
    <w:rsid w:val="000F45CE"/>
    <w:rsid w:val="00101C16"/>
    <w:rsid w:val="00105E61"/>
    <w:rsid w:val="00111482"/>
    <w:rsid w:val="00111EE2"/>
    <w:rsid w:val="001169A2"/>
    <w:rsid w:val="001173A9"/>
    <w:rsid w:val="00117584"/>
    <w:rsid w:val="0012270E"/>
    <w:rsid w:val="00123799"/>
    <w:rsid w:val="00126B7E"/>
    <w:rsid w:val="00130F5B"/>
    <w:rsid w:val="00135735"/>
    <w:rsid w:val="00137D52"/>
    <w:rsid w:val="00153F3C"/>
    <w:rsid w:val="00164A04"/>
    <w:rsid w:val="00165787"/>
    <w:rsid w:val="001659F7"/>
    <w:rsid w:val="00173135"/>
    <w:rsid w:val="00182DFE"/>
    <w:rsid w:val="00183D11"/>
    <w:rsid w:val="00183EB0"/>
    <w:rsid w:val="0018611D"/>
    <w:rsid w:val="001939A1"/>
    <w:rsid w:val="001A08DA"/>
    <w:rsid w:val="001A6918"/>
    <w:rsid w:val="001B141F"/>
    <w:rsid w:val="001B2A39"/>
    <w:rsid w:val="001C03A3"/>
    <w:rsid w:val="001C03F9"/>
    <w:rsid w:val="001C12A7"/>
    <w:rsid w:val="001D3925"/>
    <w:rsid w:val="001D698B"/>
    <w:rsid w:val="001E2663"/>
    <w:rsid w:val="001F0194"/>
    <w:rsid w:val="001F05B2"/>
    <w:rsid w:val="001F08F4"/>
    <w:rsid w:val="001F6246"/>
    <w:rsid w:val="001F7EEC"/>
    <w:rsid w:val="00201947"/>
    <w:rsid w:val="0020567B"/>
    <w:rsid w:val="00206619"/>
    <w:rsid w:val="00207869"/>
    <w:rsid w:val="00212281"/>
    <w:rsid w:val="00213347"/>
    <w:rsid w:val="00214B28"/>
    <w:rsid w:val="00217E1D"/>
    <w:rsid w:val="002207BB"/>
    <w:rsid w:val="00252EB9"/>
    <w:rsid w:val="00256D41"/>
    <w:rsid w:val="00260283"/>
    <w:rsid w:val="002679C7"/>
    <w:rsid w:val="00271E7F"/>
    <w:rsid w:val="002726B8"/>
    <w:rsid w:val="00272D08"/>
    <w:rsid w:val="00274BA3"/>
    <w:rsid w:val="0027613F"/>
    <w:rsid w:val="002765B9"/>
    <w:rsid w:val="0027770D"/>
    <w:rsid w:val="00280A17"/>
    <w:rsid w:val="00285A92"/>
    <w:rsid w:val="00285AB0"/>
    <w:rsid w:val="00287617"/>
    <w:rsid w:val="002876A9"/>
    <w:rsid w:val="002878D6"/>
    <w:rsid w:val="0029024D"/>
    <w:rsid w:val="00290525"/>
    <w:rsid w:val="0029118D"/>
    <w:rsid w:val="00293651"/>
    <w:rsid w:val="002955E2"/>
    <w:rsid w:val="0029689F"/>
    <w:rsid w:val="002A06E2"/>
    <w:rsid w:val="002A20DC"/>
    <w:rsid w:val="002A26BC"/>
    <w:rsid w:val="002A49EC"/>
    <w:rsid w:val="002A4A29"/>
    <w:rsid w:val="002A76B3"/>
    <w:rsid w:val="002A77C9"/>
    <w:rsid w:val="002C16A1"/>
    <w:rsid w:val="002C192D"/>
    <w:rsid w:val="002D2AE3"/>
    <w:rsid w:val="002D3EF6"/>
    <w:rsid w:val="002E15A4"/>
    <w:rsid w:val="002E39AF"/>
    <w:rsid w:val="002E3A3C"/>
    <w:rsid w:val="002E7D10"/>
    <w:rsid w:val="002F0A56"/>
    <w:rsid w:val="002F0B78"/>
    <w:rsid w:val="002F4186"/>
    <w:rsid w:val="002F58FA"/>
    <w:rsid w:val="002F59DB"/>
    <w:rsid w:val="002F66F1"/>
    <w:rsid w:val="00301470"/>
    <w:rsid w:val="003056A6"/>
    <w:rsid w:val="00305C2B"/>
    <w:rsid w:val="00311545"/>
    <w:rsid w:val="00311EB5"/>
    <w:rsid w:val="00314694"/>
    <w:rsid w:val="00316791"/>
    <w:rsid w:val="003173F8"/>
    <w:rsid w:val="00317919"/>
    <w:rsid w:val="00326007"/>
    <w:rsid w:val="0032663A"/>
    <w:rsid w:val="00332D99"/>
    <w:rsid w:val="00347E4F"/>
    <w:rsid w:val="00350DF8"/>
    <w:rsid w:val="00353B53"/>
    <w:rsid w:val="003603AC"/>
    <w:rsid w:val="00362BA4"/>
    <w:rsid w:val="0036326B"/>
    <w:rsid w:val="00364A75"/>
    <w:rsid w:val="00366356"/>
    <w:rsid w:val="00373BC3"/>
    <w:rsid w:val="00384A27"/>
    <w:rsid w:val="00393437"/>
    <w:rsid w:val="00394534"/>
    <w:rsid w:val="00394DE7"/>
    <w:rsid w:val="003A2C27"/>
    <w:rsid w:val="003A36CC"/>
    <w:rsid w:val="003A6FC9"/>
    <w:rsid w:val="003A7795"/>
    <w:rsid w:val="003B0CE4"/>
    <w:rsid w:val="003B461F"/>
    <w:rsid w:val="003B484F"/>
    <w:rsid w:val="003B4E6F"/>
    <w:rsid w:val="003C10F0"/>
    <w:rsid w:val="003C7EF1"/>
    <w:rsid w:val="003D046F"/>
    <w:rsid w:val="003D180D"/>
    <w:rsid w:val="003E063A"/>
    <w:rsid w:val="003E1237"/>
    <w:rsid w:val="003E2292"/>
    <w:rsid w:val="003E731A"/>
    <w:rsid w:val="003E7C52"/>
    <w:rsid w:val="003F42E9"/>
    <w:rsid w:val="00404705"/>
    <w:rsid w:val="00404781"/>
    <w:rsid w:val="004126C1"/>
    <w:rsid w:val="004135F3"/>
    <w:rsid w:val="00416344"/>
    <w:rsid w:val="004201D8"/>
    <w:rsid w:val="00431F51"/>
    <w:rsid w:val="00435EFE"/>
    <w:rsid w:val="004526BE"/>
    <w:rsid w:val="004567E1"/>
    <w:rsid w:val="00460A3F"/>
    <w:rsid w:val="004651B6"/>
    <w:rsid w:val="0046610F"/>
    <w:rsid w:val="00466D2B"/>
    <w:rsid w:val="0046717B"/>
    <w:rsid w:val="004817D8"/>
    <w:rsid w:val="00491B62"/>
    <w:rsid w:val="00496AE9"/>
    <w:rsid w:val="00497CE5"/>
    <w:rsid w:val="004A37F4"/>
    <w:rsid w:val="004A4541"/>
    <w:rsid w:val="004A6889"/>
    <w:rsid w:val="004A6981"/>
    <w:rsid w:val="004B1888"/>
    <w:rsid w:val="004B23AE"/>
    <w:rsid w:val="004B4F9F"/>
    <w:rsid w:val="004B538B"/>
    <w:rsid w:val="004D0872"/>
    <w:rsid w:val="004D14EF"/>
    <w:rsid w:val="004D2AEA"/>
    <w:rsid w:val="004F0927"/>
    <w:rsid w:val="004F156E"/>
    <w:rsid w:val="004F6337"/>
    <w:rsid w:val="00500114"/>
    <w:rsid w:val="0050218C"/>
    <w:rsid w:val="00502D0F"/>
    <w:rsid w:val="005033B7"/>
    <w:rsid w:val="0050480A"/>
    <w:rsid w:val="005104C1"/>
    <w:rsid w:val="00510F4D"/>
    <w:rsid w:val="00513661"/>
    <w:rsid w:val="00514099"/>
    <w:rsid w:val="0052439F"/>
    <w:rsid w:val="00524CEF"/>
    <w:rsid w:val="0053056D"/>
    <w:rsid w:val="00532AAF"/>
    <w:rsid w:val="005362E7"/>
    <w:rsid w:val="0054096E"/>
    <w:rsid w:val="00540A43"/>
    <w:rsid w:val="00547482"/>
    <w:rsid w:val="005500BA"/>
    <w:rsid w:val="00552025"/>
    <w:rsid w:val="0055359D"/>
    <w:rsid w:val="0055605C"/>
    <w:rsid w:val="00557035"/>
    <w:rsid w:val="00557C20"/>
    <w:rsid w:val="00557E50"/>
    <w:rsid w:val="0057141E"/>
    <w:rsid w:val="00573240"/>
    <w:rsid w:val="00573FA4"/>
    <w:rsid w:val="0057526B"/>
    <w:rsid w:val="005767A7"/>
    <w:rsid w:val="00584516"/>
    <w:rsid w:val="0058508E"/>
    <w:rsid w:val="00591B15"/>
    <w:rsid w:val="005923A5"/>
    <w:rsid w:val="005928EA"/>
    <w:rsid w:val="00594B91"/>
    <w:rsid w:val="005A0B51"/>
    <w:rsid w:val="005A40AE"/>
    <w:rsid w:val="005B0452"/>
    <w:rsid w:val="005B54C7"/>
    <w:rsid w:val="005B740D"/>
    <w:rsid w:val="005C17AA"/>
    <w:rsid w:val="005C2268"/>
    <w:rsid w:val="005C2A61"/>
    <w:rsid w:val="005C45B1"/>
    <w:rsid w:val="005C4F06"/>
    <w:rsid w:val="005C7696"/>
    <w:rsid w:val="005C79C8"/>
    <w:rsid w:val="005C79D0"/>
    <w:rsid w:val="005D0C7A"/>
    <w:rsid w:val="005D2F25"/>
    <w:rsid w:val="005D37A1"/>
    <w:rsid w:val="005D68A1"/>
    <w:rsid w:val="005D716B"/>
    <w:rsid w:val="005D763E"/>
    <w:rsid w:val="005E1D66"/>
    <w:rsid w:val="005E58F5"/>
    <w:rsid w:val="005F342B"/>
    <w:rsid w:val="005F34DA"/>
    <w:rsid w:val="005F364F"/>
    <w:rsid w:val="005F5D06"/>
    <w:rsid w:val="005F6299"/>
    <w:rsid w:val="006014C3"/>
    <w:rsid w:val="00602F7C"/>
    <w:rsid w:val="0061509A"/>
    <w:rsid w:val="00616957"/>
    <w:rsid w:val="00627248"/>
    <w:rsid w:val="00627C7D"/>
    <w:rsid w:val="006309DA"/>
    <w:rsid w:val="00632660"/>
    <w:rsid w:val="00636CDF"/>
    <w:rsid w:val="006424B7"/>
    <w:rsid w:val="006435C5"/>
    <w:rsid w:val="0064436E"/>
    <w:rsid w:val="0064693F"/>
    <w:rsid w:val="00650C2A"/>
    <w:rsid w:val="006517B1"/>
    <w:rsid w:val="00651B84"/>
    <w:rsid w:val="00655CC9"/>
    <w:rsid w:val="00663C8E"/>
    <w:rsid w:val="00665E50"/>
    <w:rsid w:val="006670B6"/>
    <w:rsid w:val="00670F57"/>
    <w:rsid w:val="006747FA"/>
    <w:rsid w:val="00675463"/>
    <w:rsid w:val="0068074B"/>
    <w:rsid w:val="00681081"/>
    <w:rsid w:val="00683A27"/>
    <w:rsid w:val="0068639F"/>
    <w:rsid w:val="006920F5"/>
    <w:rsid w:val="00692481"/>
    <w:rsid w:val="006A76D1"/>
    <w:rsid w:val="006B143D"/>
    <w:rsid w:val="006B62AA"/>
    <w:rsid w:val="006C013D"/>
    <w:rsid w:val="006C4134"/>
    <w:rsid w:val="006C4FD4"/>
    <w:rsid w:val="006C54EB"/>
    <w:rsid w:val="006D2B50"/>
    <w:rsid w:val="006D3227"/>
    <w:rsid w:val="006D45A5"/>
    <w:rsid w:val="006D607D"/>
    <w:rsid w:val="006D6442"/>
    <w:rsid w:val="006D7C2C"/>
    <w:rsid w:val="006E1465"/>
    <w:rsid w:val="006E37A9"/>
    <w:rsid w:val="006F0922"/>
    <w:rsid w:val="006F2120"/>
    <w:rsid w:val="006F4D27"/>
    <w:rsid w:val="006F4EC3"/>
    <w:rsid w:val="006F61EE"/>
    <w:rsid w:val="0070202A"/>
    <w:rsid w:val="007050D7"/>
    <w:rsid w:val="0070680D"/>
    <w:rsid w:val="007074E3"/>
    <w:rsid w:val="007077B6"/>
    <w:rsid w:val="00713893"/>
    <w:rsid w:val="00714993"/>
    <w:rsid w:val="00714DF7"/>
    <w:rsid w:val="00722598"/>
    <w:rsid w:val="00723312"/>
    <w:rsid w:val="00725144"/>
    <w:rsid w:val="00727E5F"/>
    <w:rsid w:val="00737A93"/>
    <w:rsid w:val="00742D78"/>
    <w:rsid w:val="00743556"/>
    <w:rsid w:val="00745D1E"/>
    <w:rsid w:val="00746AB6"/>
    <w:rsid w:val="00750813"/>
    <w:rsid w:val="00757A3C"/>
    <w:rsid w:val="00760315"/>
    <w:rsid w:val="00760C55"/>
    <w:rsid w:val="00772178"/>
    <w:rsid w:val="00780B4F"/>
    <w:rsid w:val="00784871"/>
    <w:rsid w:val="007908EE"/>
    <w:rsid w:val="0079263B"/>
    <w:rsid w:val="007A2CC3"/>
    <w:rsid w:val="007A38D2"/>
    <w:rsid w:val="007A53F3"/>
    <w:rsid w:val="007B06B5"/>
    <w:rsid w:val="007B472B"/>
    <w:rsid w:val="007B6C39"/>
    <w:rsid w:val="007C1954"/>
    <w:rsid w:val="007C1D87"/>
    <w:rsid w:val="007C1DB7"/>
    <w:rsid w:val="007D028D"/>
    <w:rsid w:val="007D7552"/>
    <w:rsid w:val="007E04C3"/>
    <w:rsid w:val="007F18B8"/>
    <w:rsid w:val="007F33C5"/>
    <w:rsid w:val="007F3F72"/>
    <w:rsid w:val="007F6DE4"/>
    <w:rsid w:val="00803AC1"/>
    <w:rsid w:val="00803CED"/>
    <w:rsid w:val="008073EA"/>
    <w:rsid w:val="00813B09"/>
    <w:rsid w:val="0081552D"/>
    <w:rsid w:val="008177AA"/>
    <w:rsid w:val="008232A5"/>
    <w:rsid w:val="008236BA"/>
    <w:rsid w:val="0082783C"/>
    <w:rsid w:val="008328EC"/>
    <w:rsid w:val="0084144A"/>
    <w:rsid w:val="008436C0"/>
    <w:rsid w:val="0084441B"/>
    <w:rsid w:val="00850C9E"/>
    <w:rsid w:val="008510FB"/>
    <w:rsid w:val="008513AB"/>
    <w:rsid w:val="00857726"/>
    <w:rsid w:val="00860D30"/>
    <w:rsid w:val="00861CA1"/>
    <w:rsid w:val="008629DE"/>
    <w:rsid w:val="0086514A"/>
    <w:rsid w:val="00865FDA"/>
    <w:rsid w:val="00876A5F"/>
    <w:rsid w:val="00876AC0"/>
    <w:rsid w:val="008859D9"/>
    <w:rsid w:val="008872A9"/>
    <w:rsid w:val="0089142C"/>
    <w:rsid w:val="00891894"/>
    <w:rsid w:val="00894117"/>
    <w:rsid w:val="008958F6"/>
    <w:rsid w:val="008B1640"/>
    <w:rsid w:val="008B29FE"/>
    <w:rsid w:val="008B3860"/>
    <w:rsid w:val="008C5540"/>
    <w:rsid w:val="008C6A05"/>
    <w:rsid w:val="008C7138"/>
    <w:rsid w:val="008D15FE"/>
    <w:rsid w:val="008D1812"/>
    <w:rsid w:val="008D1F23"/>
    <w:rsid w:val="008D24DA"/>
    <w:rsid w:val="008D374B"/>
    <w:rsid w:val="008D4CAD"/>
    <w:rsid w:val="008D6A50"/>
    <w:rsid w:val="008D762D"/>
    <w:rsid w:val="008E0071"/>
    <w:rsid w:val="008E6582"/>
    <w:rsid w:val="008F21BA"/>
    <w:rsid w:val="008F2FF6"/>
    <w:rsid w:val="008F5835"/>
    <w:rsid w:val="009012D8"/>
    <w:rsid w:val="00913810"/>
    <w:rsid w:val="00915E07"/>
    <w:rsid w:val="00916463"/>
    <w:rsid w:val="00924B6F"/>
    <w:rsid w:val="009310C4"/>
    <w:rsid w:val="00946DE4"/>
    <w:rsid w:val="009521BB"/>
    <w:rsid w:val="00960E7C"/>
    <w:rsid w:val="00961373"/>
    <w:rsid w:val="00964F1F"/>
    <w:rsid w:val="009670FF"/>
    <w:rsid w:val="009671B4"/>
    <w:rsid w:val="009700A9"/>
    <w:rsid w:val="00972E11"/>
    <w:rsid w:val="00975DA0"/>
    <w:rsid w:val="00991028"/>
    <w:rsid w:val="00994389"/>
    <w:rsid w:val="00997275"/>
    <w:rsid w:val="009A0415"/>
    <w:rsid w:val="009A2723"/>
    <w:rsid w:val="009A742F"/>
    <w:rsid w:val="009B5CDD"/>
    <w:rsid w:val="009C403C"/>
    <w:rsid w:val="009C5594"/>
    <w:rsid w:val="009C6503"/>
    <w:rsid w:val="009D12EB"/>
    <w:rsid w:val="009D2138"/>
    <w:rsid w:val="009D4D2C"/>
    <w:rsid w:val="009D73C1"/>
    <w:rsid w:val="009E2BDC"/>
    <w:rsid w:val="009E7EEA"/>
    <w:rsid w:val="009F43C5"/>
    <w:rsid w:val="00A0155C"/>
    <w:rsid w:val="00A02B9C"/>
    <w:rsid w:val="00A13DC0"/>
    <w:rsid w:val="00A14E08"/>
    <w:rsid w:val="00A1735B"/>
    <w:rsid w:val="00A259B6"/>
    <w:rsid w:val="00A30467"/>
    <w:rsid w:val="00A346A8"/>
    <w:rsid w:val="00A37472"/>
    <w:rsid w:val="00A404DB"/>
    <w:rsid w:val="00A417C3"/>
    <w:rsid w:val="00A5118B"/>
    <w:rsid w:val="00A5645E"/>
    <w:rsid w:val="00A5738C"/>
    <w:rsid w:val="00A57B83"/>
    <w:rsid w:val="00A603E5"/>
    <w:rsid w:val="00A60918"/>
    <w:rsid w:val="00A6294F"/>
    <w:rsid w:val="00A7167C"/>
    <w:rsid w:val="00A71EE2"/>
    <w:rsid w:val="00A80356"/>
    <w:rsid w:val="00A804DF"/>
    <w:rsid w:val="00A85531"/>
    <w:rsid w:val="00A85B43"/>
    <w:rsid w:val="00AA169C"/>
    <w:rsid w:val="00AA3189"/>
    <w:rsid w:val="00AA4607"/>
    <w:rsid w:val="00AA65E9"/>
    <w:rsid w:val="00AB0965"/>
    <w:rsid w:val="00AC08AD"/>
    <w:rsid w:val="00AC446B"/>
    <w:rsid w:val="00AC5B44"/>
    <w:rsid w:val="00AD0441"/>
    <w:rsid w:val="00AD4269"/>
    <w:rsid w:val="00AD6931"/>
    <w:rsid w:val="00AD7385"/>
    <w:rsid w:val="00AE0EA5"/>
    <w:rsid w:val="00AE7C89"/>
    <w:rsid w:val="00AF1435"/>
    <w:rsid w:val="00AF6369"/>
    <w:rsid w:val="00AF77BE"/>
    <w:rsid w:val="00AF7FB1"/>
    <w:rsid w:val="00B03C08"/>
    <w:rsid w:val="00B10996"/>
    <w:rsid w:val="00B11A9F"/>
    <w:rsid w:val="00B137FD"/>
    <w:rsid w:val="00B14D17"/>
    <w:rsid w:val="00B15635"/>
    <w:rsid w:val="00B16BB2"/>
    <w:rsid w:val="00B261E2"/>
    <w:rsid w:val="00B262C0"/>
    <w:rsid w:val="00B3420F"/>
    <w:rsid w:val="00B46832"/>
    <w:rsid w:val="00B47204"/>
    <w:rsid w:val="00B5015B"/>
    <w:rsid w:val="00B507E8"/>
    <w:rsid w:val="00B50C6E"/>
    <w:rsid w:val="00B60D58"/>
    <w:rsid w:val="00B61A63"/>
    <w:rsid w:val="00B62C92"/>
    <w:rsid w:val="00B707E2"/>
    <w:rsid w:val="00B72816"/>
    <w:rsid w:val="00B72868"/>
    <w:rsid w:val="00B76CE1"/>
    <w:rsid w:val="00B864EA"/>
    <w:rsid w:val="00B86CF9"/>
    <w:rsid w:val="00B9013C"/>
    <w:rsid w:val="00B9605D"/>
    <w:rsid w:val="00BA6FFE"/>
    <w:rsid w:val="00BB3FB2"/>
    <w:rsid w:val="00BC2FFD"/>
    <w:rsid w:val="00BC3DF1"/>
    <w:rsid w:val="00BC70DD"/>
    <w:rsid w:val="00BD1FF7"/>
    <w:rsid w:val="00BD2AFE"/>
    <w:rsid w:val="00BD2E1C"/>
    <w:rsid w:val="00BE16BC"/>
    <w:rsid w:val="00BE3DAF"/>
    <w:rsid w:val="00BF0C73"/>
    <w:rsid w:val="00BF3FA4"/>
    <w:rsid w:val="00BF4491"/>
    <w:rsid w:val="00BF5C7D"/>
    <w:rsid w:val="00C00949"/>
    <w:rsid w:val="00C00BD2"/>
    <w:rsid w:val="00C2077E"/>
    <w:rsid w:val="00C24AC8"/>
    <w:rsid w:val="00C3259C"/>
    <w:rsid w:val="00C32F12"/>
    <w:rsid w:val="00C36602"/>
    <w:rsid w:val="00C42EDA"/>
    <w:rsid w:val="00C42F47"/>
    <w:rsid w:val="00C61E8B"/>
    <w:rsid w:val="00C65CC5"/>
    <w:rsid w:val="00C6716D"/>
    <w:rsid w:val="00C72BAF"/>
    <w:rsid w:val="00C75455"/>
    <w:rsid w:val="00C817A7"/>
    <w:rsid w:val="00C8326F"/>
    <w:rsid w:val="00C86691"/>
    <w:rsid w:val="00C90B5F"/>
    <w:rsid w:val="00C91348"/>
    <w:rsid w:val="00C94F2B"/>
    <w:rsid w:val="00CA4771"/>
    <w:rsid w:val="00CA75D3"/>
    <w:rsid w:val="00CA7FC3"/>
    <w:rsid w:val="00CB2182"/>
    <w:rsid w:val="00CB62A2"/>
    <w:rsid w:val="00CC0C2C"/>
    <w:rsid w:val="00CC41A4"/>
    <w:rsid w:val="00CD17E8"/>
    <w:rsid w:val="00CD25CE"/>
    <w:rsid w:val="00CD3E7E"/>
    <w:rsid w:val="00CD7C2E"/>
    <w:rsid w:val="00CE2B60"/>
    <w:rsid w:val="00CF10EF"/>
    <w:rsid w:val="00CF2360"/>
    <w:rsid w:val="00CF242F"/>
    <w:rsid w:val="00CF6663"/>
    <w:rsid w:val="00D014CB"/>
    <w:rsid w:val="00D035E4"/>
    <w:rsid w:val="00D04B76"/>
    <w:rsid w:val="00D07A63"/>
    <w:rsid w:val="00D1461D"/>
    <w:rsid w:val="00D22552"/>
    <w:rsid w:val="00D366D3"/>
    <w:rsid w:val="00D429C9"/>
    <w:rsid w:val="00D50E36"/>
    <w:rsid w:val="00D62AE1"/>
    <w:rsid w:val="00D63818"/>
    <w:rsid w:val="00D63BC0"/>
    <w:rsid w:val="00D6782D"/>
    <w:rsid w:val="00D71D21"/>
    <w:rsid w:val="00D75E96"/>
    <w:rsid w:val="00D82701"/>
    <w:rsid w:val="00D92596"/>
    <w:rsid w:val="00D936DC"/>
    <w:rsid w:val="00D93791"/>
    <w:rsid w:val="00DA696A"/>
    <w:rsid w:val="00DA6B51"/>
    <w:rsid w:val="00DB0E72"/>
    <w:rsid w:val="00DB1EA2"/>
    <w:rsid w:val="00DB45DC"/>
    <w:rsid w:val="00DB67B5"/>
    <w:rsid w:val="00DB7C01"/>
    <w:rsid w:val="00DC2033"/>
    <w:rsid w:val="00DC4743"/>
    <w:rsid w:val="00DC6D26"/>
    <w:rsid w:val="00DC754A"/>
    <w:rsid w:val="00DC7E43"/>
    <w:rsid w:val="00DD1BC4"/>
    <w:rsid w:val="00DE2FD2"/>
    <w:rsid w:val="00DE5163"/>
    <w:rsid w:val="00DF16CE"/>
    <w:rsid w:val="00DF2AC6"/>
    <w:rsid w:val="00DF4E6F"/>
    <w:rsid w:val="00DF5BD2"/>
    <w:rsid w:val="00E0454F"/>
    <w:rsid w:val="00E11CCA"/>
    <w:rsid w:val="00E1472C"/>
    <w:rsid w:val="00E16AB0"/>
    <w:rsid w:val="00E3488A"/>
    <w:rsid w:val="00E40DEE"/>
    <w:rsid w:val="00E44244"/>
    <w:rsid w:val="00E4753C"/>
    <w:rsid w:val="00E504D1"/>
    <w:rsid w:val="00E5366E"/>
    <w:rsid w:val="00E53826"/>
    <w:rsid w:val="00E53EB9"/>
    <w:rsid w:val="00E55C92"/>
    <w:rsid w:val="00E569F0"/>
    <w:rsid w:val="00E57867"/>
    <w:rsid w:val="00E60BE1"/>
    <w:rsid w:val="00E61832"/>
    <w:rsid w:val="00E72DF8"/>
    <w:rsid w:val="00E7560D"/>
    <w:rsid w:val="00E75FC3"/>
    <w:rsid w:val="00E8062E"/>
    <w:rsid w:val="00E80FAD"/>
    <w:rsid w:val="00E8406F"/>
    <w:rsid w:val="00E90D0D"/>
    <w:rsid w:val="00E9182E"/>
    <w:rsid w:val="00E92C95"/>
    <w:rsid w:val="00E941C2"/>
    <w:rsid w:val="00E9773D"/>
    <w:rsid w:val="00EA4372"/>
    <w:rsid w:val="00EB2BC8"/>
    <w:rsid w:val="00EB3015"/>
    <w:rsid w:val="00EB38E5"/>
    <w:rsid w:val="00ED19F0"/>
    <w:rsid w:val="00ED2F9E"/>
    <w:rsid w:val="00ED48A0"/>
    <w:rsid w:val="00EE2A27"/>
    <w:rsid w:val="00EE40AB"/>
    <w:rsid w:val="00EE6A11"/>
    <w:rsid w:val="00EF4BD4"/>
    <w:rsid w:val="00EF74CA"/>
    <w:rsid w:val="00EF7A4E"/>
    <w:rsid w:val="00F16BF9"/>
    <w:rsid w:val="00F208DB"/>
    <w:rsid w:val="00F21BBA"/>
    <w:rsid w:val="00F3202C"/>
    <w:rsid w:val="00F40481"/>
    <w:rsid w:val="00F41744"/>
    <w:rsid w:val="00F42D00"/>
    <w:rsid w:val="00F504BF"/>
    <w:rsid w:val="00F533F7"/>
    <w:rsid w:val="00F5347D"/>
    <w:rsid w:val="00F54243"/>
    <w:rsid w:val="00F62326"/>
    <w:rsid w:val="00F632AC"/>
    <w:rsid w:val="00F647B8"/>
    <w:rsid w:val="00F65D3F"/>
    <w:rsid w:val="00F7005B"/>
    <w:rsid w:val="00F713A8"/>
    <w:rsid w:val="00F72EAA"/>
    <w:rsid w:val="00F7369C"/>
    <w:rsid w:val="00F741A2"/>
    <w:rsid w:val="00F80075"/>
    <w:rsid w:val="00F826F0"/>
    <w:rsid w:val="00F82803"/>
    <w:rsid w:val="00F87724"/>
    <w:rsid w:val="00F90A1E"/>
    <w:rsid w:val="00F93A32"/>
    <w:rsid w:val="00F952E7"/>
    <w:rsid w:val="00FA07A5"/>
    <w:rsid w:val="00FA377A"/>
    <w:rsid w:val="00FA55F5"/>
    <w:rsid w:val="00FB1105"/>
    <w:rsid w:val="00FC4153"/>
    <w:rsid w:val="00FC4DE7"/>
    <w:rsid w:val="00FC75B5"/>
    <w:rsid w:val="00FC7866"/>
    <w:rsid w:val="00FD2211"/>
    <w:rsid w:val="00FD4A76"/>
    <w:rsid w:val="00FE0A62"/>
    <w:rsid w:val="00FE0F25"/>
    <w:rsid w:val="00FF5533"/>
    <w:rsid w:val="00FF696D"/>
    <w:rsid w:val="039B1FC8"/>
    <w:rsid w:val="051B372E"/>
    <w:rsid w:val="05904691"/>
    <w:rsid w:val="064222D0"/>
    <w:rsid w:val="09562F3A"/>
    <w:rsid w:val="096A6889"/>
    <w:rsid w:val="0A47740B"/>
    <w:rsid w:val="0B0A5C0C"/>
    <w:rsid w:val="0B65739F"/>
    <w:rsid w:val="0C410721"/>
    <w:rsid w:val="0C7908EE"/>
    <w:rsid w:val="0C833643"/>
    <w:rsid w:val="0D4929F4"/>
    <w:rsid w:val="0EDD0273"/>
    <w:rsid w:val="0FE17D8B"/>
    <w:rsid w:val="104308B5"/>
    <w:rsid w:val="104940DD"/>
    <w:rsid w:val="107A5391"/>
    <w:rsid w:val="14ED3D4F"/>
    <w:rsid w:val="15F34E75"/>
    <w:rsid w:val="16500E7C"/>
    <w:rsid w:val="16B65260"/>
    <w:rsid w:val="17827511"/>
    <w:rsid w:val="1885279A"/>
    <w:rsid w:val="190A73FD"/>
    <w:rsid w:val="19E00D13"/>
    <w:rsid w:val="1A9D52C6"/>
    <w:rsid w:val="1E210FF5"/>
    <w:rsid w:val="1F911A2D"/>
    <w:rsid w:val="200D7836"/>
    <w:rsid w:val="21055136"/>
    <w:rsid w:val="23371D17"/>
    <w:rsid w:val="233C36EC"/>
    <w:rsid w:val="2347723C"/>
    <w:rsid w:val="25C55BAD"/>
    <w:rsid w:val="26134646"/>
    <w:rsid w:val="26CB2E7D"/>
    <w:rsid w:val="2828205C"/>
    <w:rsid w:val="28946240"/>
    <w:rsid w:val="29194204"/>
    <w:rsid w:val="293A4F55"/>
    <w:rsid w:val="29B7680B"/>
    <w:rsid w:val="29EF3A93"/>
    <w:rsid w:val="2A514B98"/>
    <w:rsid w:val="2AF44A5D"/>
    <w:rsid w:val="2BDF043E"/>
    <w:rsid w:val="2BE12CBE"/>
    <w:rsid w:val="2C025EDA"/>
    <w:rsid w:val="2C1F23A0"/>
    <w:rsid w:val="2C3B553A"/>
    <w:rsid w:val="2E906652"/>
    <w:rsid w:val="2EDE5EBD"/>
    <w:rsid w:val="2EDF14D2"/>
    <w:rsid w:val="2FC916E6"/>
    <w:rsid w:val="306B04F2"/>
    <w:rsid w:val="322974F8"/>
    <w:rsid w:val="32442EF4"/>
    <w:rsid w:val="329A40BE"/>
    <w:rsid w:val="32E63082"/>
    <w:rsid w:val="33467A14"/>
    <w:rsid w:val="35675430"/>
    <w:rsid w:val="35BC12D0"/>
    <w:rsid w:val="36653107"/>
    <w:rsid w:val="380C602A"/>
    <w:rsid w:val="3A1F312B"/>
    <w:rsid w:val="3A346741"/>
    <w:rsid w:val="3C343089"/>
    <w:rsid w:val="3DFD29A6"/>
    <w:rsid w:val="3E536FBF"/>
    <w:rsid w:val="3E5E1696"/>
    <w:rsid w:val="3F6632A2"/>
    <w:rsid w:val="41530B9B"/>
    <w:rsid w:val="41EB3C75"/>
    <w:rsid w:val="432A004A"/>
    <w:rsid w:val="43A91430"/>
    <w:rsid w:val="43BD2C93"/>
    <w:rsid w:val="448F68EE"/>
    <w:rsid w:val="44B456FB"/>
    <w:rsid w:val="453126CE"/>
    <w:rsid w:val="46B45ADE"/>
    <w:rsid w:val="47523D62"/>
    <w:rsid w:val="478A6047"/>
    <w:rsid w:val="49B23FC2"/>
    <w:rsid w:val="4B321EE0"/>
    <w:rsid w:val="4C2704CC"/>
    <w:rsid w:val="4CAC0763"/>
    <w:rsid w:val="4D77289F"/>
    <w:rsid w:val="4EE25F4B"/>
    <w:rsid w:val="4F9C783E"/>
    <w:rsid w:val="4FF82273"/>
    <w:rsid w:val="50256DC0"/>
    <w:rsid w:val="50604990"/>
    <w:rsid w:val="50AC6901"/>
    <w:rsid w:val="52854FEC"/>
    <w:rsid w:val="52D76623"/>
    <w:rsid w:val="537C6E01"/>
    <w:rsid w:val="53F75E90"/>
    <w:rsid w:val="54372B17"/>
    <w:rsid w:val="54C1195F"/>
    <w:rsid w:val="553811AD"/>
    <w:rsid w:val="555F012D"/>
    <w:rsid w:val="561C64AD"/>
    <w:rsid w:val="56D901E2"/>
    <w:rsid w:val="58053B77"/>
    <w:rsid w:val="587F202B"/>
    <w:rsid w:val="59FF2466"/>
    <w:rsid w:val="5A170671"/>
    <w:rsid w:val="5B4A6DD2"/>
    <w:rsid w:val="5C3B4CCE"/>
    <w:rsid w:val="5D714325"/>
    <w:rsid w:val="5D866AC4"/>
    <w:rsid w:val="6020045A"/>
    <w:rsid w:val="616E4C84"/>
    <w:rsid w:val="61BA27D8"/>
    <w:rsid w:val="61F35EA1"/>
    <w:rsid w:val="622641AD"/>
    <w:rsid w:val="64E8140A"/>
    <w:rsid w:val="6737190C"/>
    <w:rsid w:val="67436DDB"/>
    <w:rsid w:val="67BE5550"/>
    <w:rsid w:val="67DC28E1"/>
    <w:rsid w:val="69592C82"/>
    <w:rsid w:val="6C3E2441"/>
    <w:rsid w:val="6C4038B4"/>
    <w:rsid w:val="6C983BB8"/>
    <w:rsid w:val="6CA83DF4"/>
    <w:rsid w:val="6D910891"/>
    <w:rsid w:val="6DB417B3"/>
    <w:rsid w:val="6DB61EEC"/>
    <w:rsid w:val="6DD86EFC"/>
    <w:rsid w:val="6E5044BB"/>
    <w:rsid w:val="6FFA0D78"/>
    <w:rsid w:val="701F03D6"/>
    <w:rsid w:val="71402BA9"/>
    <w:rsid w:val="714440C5"/>
    <w:rsid w:val="72FE6541"/>
    <w:rsid w:val="7306587D"/>
    <w:rsid w:val="7395275D"/>
    <w:rsid w:val="76823EF8"/>
    <w:rsid w:val="76B66E3B"/>
    <w:rsid w:val="79003A52"/>
    <w:rsid w:val="79E9735F"/>
    <w:rsid w:val="7A3D7C35"/>
    <w:rsid w:val="7A887C48"/>
    <w:rsid w:val="7B2F16E9"/>
    <w:rsid w:val="7B3F4EE1"/>
    <w:rsid w:val="7BD1388F"/>
    <w:rsid w:val="7D486870"/>
    <w:rsid w:val="7EBD4866"/>
    <w:rsid w:val="7ED247F6"/>
    <w:rsid w:val="7F2115FF"/>
    <w:rsid w:val="7F62208D"/>
    <w:rsid w:val="7FD722FF"/>
    <w:rsid w:val="7FF60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460" w:lineRule="atLeast"/>
      <w:ind w:firstLine="420" w:firstLineChars="200"/>
    </w:pPr>
    <w:rPr>
      <w:rFonts w:ascii="Calibri" w:hAnsi="Calibri" w:eastAsia="宋体" w:cs="Times New Roman"/>
      <w:bCs/>
      <w:kern w:val="0"/>
      <w:sz w:val="24"/>
      <w:szCs w:val="24"/>
    </w:rPr>
  </w:style>
  <w:style w:type="paragraph" w:styleId="4">
    <w:name w:val="Balloon Text"/>
    <w:basedOn w:val="1"/>
    <w:link w:val="23"/>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rFonts w:cs="Times New Roman"/>
      <w:kern w:val="0"/>
      <w:sz w:val="24"/>
      <w:szCs w:val="24"/>
    </w:rPr>
  </w:style>
  <w:style w:type="table" w:styleId="9">
    <w:name w:val="Table Grid"/>
    <w:basedOn w:val="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0"/>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正文（无缩进）"/>
    <w:basedOn w:val="1"/>
    <w:qFormat/>
    <w:uiPriority w:val="0"/>
    <w:pPr>
      <w:spacing w:line="460" w:lineRule="atLeast"/>
      <w:ind w:firstLine="480" w:firstLineChars="200"/>
    </w:pPr>
    <w:rPr>
      <w:rFonts w:ascii="Calibri" w:hAnsi="Calibri" w:cs="Times New Roman"/>
      <w:bCs/>
      <w:kern w:val="0"/>
      <w:sz w:val="24"/>
      <w:szCs w:val="21"/>
    </w:rPr>
  </w:style>
  <w:style w:type="character" w:customStyle="1" w:styleId="15">
    <w:name w:val="标题 2 Char"/>
    <w:basedOn w:val="10"/>
    <w:link w:val="2"/>
    <w:qFormat/>
    <w:uiPriority w:val="0"/>
    <w:rPr>
      <w:rFonts w:ascii="宋体" w:hAnsi="宋体" w:eastAsia="宋体" w:cs="宋体"/>
      <w:b/>
      <w:bCs/>
      <w:kern w:val="0"/>
      <w:sz w:val="36"/>
      <w:szCs w:val="36"/>
    </w:rPr>
  </w:style>
  <w:style w:type="character" w:customStyle="1" w:styleId="16">
    <w:name w:val="font31"/>
    <w:basedOn w:val="10"/>
    <w:qFormat/>
    <w:uiPriority w:val="0"/>
    <w:rPr>
      <w:rFonts w:hint="eastAsia" w:ascii="宋体" w:hAnsi="宋体" w:eastAsia="宋体" w:cs="宋体"/>
      <w:color w:val="000000"/>
      <w:sz w:val="20"/>
      <w:szCs w:val="20"/>
      <w:u w:val="none"/>
    </w:rPr>
  </w:style>
  <w:style w:type="character" w:customStyle="1" w:styleId="17">
    <w:name w:val="font101"/>
    <w:basedOn w:val="10"/>
    <w:qFormat/>
    <w:uiPriority w:val="0"/>
    <w:rPr>
      <w:rFonts w:hint="eastAsia" w:ascii="宋体" w:hAnsi="宋体" w:eastAsia="宋体" w:cs="宋体"/>
      <w:color w:val="000000"/>
      <w:sz w:val="20"/>
      <w:szCs w:val="20"/>
      <w:u w:val="none"/>
      <w:vertAlign w:val="subscript"/>
    </w:rPr>
  </w:style>
  <w:style w:type="character" w:customStyle="1" w:styleId="18">
    <w:name w:val="font51"/>
    <w:basedOn w:val="10"/>
    <w:qFormat/>
    <w:uiPriority w:val="0"/>
    <w:rPr>
      <w:rFonts w:hint="eastAsia" w:ascii="宋体" w:hAnsi="宋体" w:eastAsia="宋体" w:cs="宋体"/>
      <w:color w:val="FF0000"/>
      <w:sz w:val="20"/>
      <w:szCs w:val="20"/>
      <w:u w:val="none"/>
    </w:rPr>
  </w:style>
  <w:style w:type="character" w:customStyle="1" w:styleId="19">
    <w:name w:val="font81"/>
    <w:basedOn w:val="10"/>
    <w:qFormat/>
    <w:uiPriority w:val="0"/>
    <w:rPr>
      <w:rFonts w:ascii="微软雅黑" w:hAnsi="微软雅黑" w:eastAsia="微软雅黑" w:cs="微软雅黑"/>
      <w:color w:val="000000"/>
      <w:sz w:val="20"/>
      <w:szCs w:val="20"/>
      <w:u w:val="none"/>
    </w:rPr>
  </w:style>
  <w:style w:type="character" w:customStyle="1" w:styleId="20">
    <w:name w:val="font11"/>
    <w:basedOn w:val="10"/>
    <w:qFormat/>
    <w:uiPriority w:val="0"/>
    <w:rPr>
      <w:rFonts w:hint="eastAsia" w:ascii="宋体" w:hAnsi="宋体" w:eastAsia="宋体" w:cs="宋体"/>
      <w:b/>
      <w:bCs/>
      <w:color w:val="000000"/>
      <w:sz w:val="32"/>
      <w:szCs w:val="32"/>
      <w:u w:val="none"/>
    </w:rPr>
  </w:style>
  <w:style w:type="character" w:customStyle="1" w:styleId="21">
    <w:name w:val="font71"/>
    <w:basedOn w:val="10"/>
    <w:qFormat/>
    <w:uiPriority w:val="0"/>
    <w:rPr>
      <w:rFonts w:hint="eastAsia" w:ascii="宋体" w:hAnsi="宋体" w:eastAsia="宋体" w:cs="宋体"/>
      <w:b/>
      <w:color w:val="000000"/>
      <w:sz w:val="22"/>
      <w:szCs w:val="22"/>
      <w:u w:val="none"/>
    </w:rPr>
  </w:style>
  <w:style w:type="character" w:customStyle="1" w:styleId="22">
    <w:name w:val="font01"/>
    <w:basedOn w:val="10"/>
    <w:qFormat/>
    <w:uiPriority w:val="0"/>
    <w:rPr>
      <w:rFonts w:hint="eastAsia" w:ascii="宋体" w:hAnsi="宋体" w:eastAsia="宋体" w:cs="宋体"/>
      <w:color w:val="000000"/>
      <w:sz w:val="20"/>
      <w:szCs w:val="20"/>
      <w:u w:val="none"/>
      <w:vertAlign w:val="subscript"/>
    </w:rPr>
  </w:style>
  <w:style w:type="character" w:customStyle="1" w:styleId="23">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1BA136-14B8-41D1-87D4-5B7B6C370D67}">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9159</Words>
  <Characters>9678</Characters>
  <Lines>77</Lines>
  <Paragraphs>21</Paragraphs>
  <TotalTime>879</TotalTime>
  <ScaleCrop>false</ScaleCrop>
  <LinksUpToDate>false</LinksUpToDate>
  <CharactersWithSpaces>10044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2022-01-20T08:13:00Z</dcterms:created>
  <dc:creator>lenovo</dc:creator>
  <cp:lastModifiedBy>研究会造价部</cp:lastModifiedBy>
  <cp:lastPrinted>2022-06-28T09:06:00Z</cp:lastPrinted>
  <dcterms:modified xsi:type="dcterms:W3CDTF">2026-03-30T01:22:14Z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0CFCB68BF8ED456A9FF8BE9467C371DD</vt:lpwstr>
  </property>
  <property fmtid="{D5CDD505-2E9C-101B-9397-08002B2CF9AE}" pid="4" name="KSOTemplateDocerSaveRecord">
    <vt:lpwstr>eyJoZGlkIjoiYmM4YjAyNDdiYTg2NDE2MDJjOTNlMTIzMGNiN2UxZGYiLCJ1c2VySWQiOiIxNjc4MTAzMjUwIn0=</vt:lpwstr>
  </property>
</Properties>
</file>